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77" w:rsidRPr="0025293D" w:rsidRDefault="0052417F" w:rsidP="00CB1877">
      <w:pPr>
        <w:spacing w:after="0" w:line="240" w:lineRule="auto"/>
        <w:jc w:val="center"/>
        <w:rPr>
          <w:sz w:val="24"/>
          <w:szCs w:val="24"/>
          <w:u w:val="single"/>
        </w:rPr>
      </w:pPr>
      <w:bookmarkStart w:id="0" w:name="_GoBack"/>
      <w:bookmarkEnd w:id="0"/>
      <w:r>
        <w:rPr>
          <w:b/>
          <w:sz w:val="24"/>
          <w:szCs w:val="24"/>
          <w:u w:val="single"/>
        </w:rPr>
        <w:t>Introduction</w:t>
      </w:r>
      <w:r w:rsidR="002D74AD">
        <w:rPr>
          <w:b/>
          <w:sz w:val="24"/>
          <w:szCs w:val="24"/>
          <w:u w:val="single"/>
        </w:rPr>
        <w:t xml:space="preserve"> to the </w:t>
      </w:r>
      <w:r w:rsidR="00CB1877" w:rsidRPr="0025293D">
        <w:rPr>
          <w:b/>
          <w:sz w:val="24"/>
          <w:szCs w:val="24"/>
          <w:u w:val="single"/>
        </w:rPr>
        <w:t xml:space="preserve">Draft Recommendations for </w:t>
      </w:r>
      <w:r w:rsidR="002D74AD">
        <w:rPr>
          <w:b/>
          <w:sz w:val="24"/>
          <w:szCs w:val="24"/>
          <w:u w:val="single"/>
        </w:rPr>
        <w:t>the Use</w:t>
      </w:r>
      <w:r w:rsidR="00CB1877" w:rsidRPr="0025293D">
        <w:rPr>
          <w:b/>
          <w:sz w:val="24"/>
          <w:szCs w:val="24"/>
          <w:u w:val="single"/>
        </w:rPr>
        <w:t xml:space="preserve"> of </w:t>
      </w:r>
      <w:r w:rsidR="002D74AD">
        <w:rPr>
          <w:b/>
          <w:sz w:val="24"/>
          <w:szCs w:val="24"/>
          <w:u w:val="single"/>
        </w:rPr>
        <w:t xml:space="preserve">the </w:t>
      </w:r>
      <w:r w:rsidR="00CB1877" w:rsidRPr="0025293D">
        <w:rPr>
          <w:b/>
          <w:sz w:val="24"/>
          <w:szCs w:val="24"/>
          <w:u w:val="single"/>
        </w:rPr>
        <w:t>Smarter Balanced 11</w:t>
      </w:r>
      <w:r w:rsidR="00CB1877" w:rsidRPr="0025293D">
        <w:rPr>
          <w:b/>
          <w:sz w:val="24"/>
          <w:szCs w:val="24"/>
          <w:u w:val="single"/>
          <w:vertAlign w:val="superscript"/>
        </w:rPr>
        <w:t>th</w:t>
      </w:r>
      <w:r w:rsidR="00CB1877" w:rsidRPr="0025293D">
        <w:rPr>
          <w:b/>
          <w:sz w:val="24"/>
          <w:szCs w:val="24"/>
          <w:u w:val="single"/>
        </w:rPr>
        <w:t xml:space="preserve"> Grade Assessment</w:t>
      </w:r>
      <w:r w:rsidR="002D74AD">
        <w:rPr>
          <w:b/>
          <w:sz w:val="24"/>
          <w:szCs w:val="24"/>
          <w:u w:val="single"/>
        </w:rPr>
        <w:t xml:space="preserve"> by Washington Institutions of Higher Education</w:t>
      </w:r>
      <w:r w:rsidR="002D74AD">
        <w:rPr>
          <w:rStyle w:val="FootnoteReference"/>
          <w:b/>
          <w:sz w:val="24"/>
          <w:szCs w:val="24"/>
          <w:u w:val="single"/>
        </w:rPr>
        <w:footnoteReference w:id="1"/>
      </w:r>
    </w:p>
    <w:p w:rsidR="00CB1877" w:rsidRPr="0025293D" w:rsidRDefault="00CB1877" w:rsidP="00C63288">
      <w:pPr>
        <w:spacing w:after="0"/>
        <w:rPr>
          <w:sz w:val="24"/>
          <w:szCs w:val="24"/>
          <w:u w:val="single"/>
        </w:rPr>
      </w:pPr>
    </w:p>
    <w:p w:rsidR="00735CC8" w:rsidRPr="002D74AD" w:rsidRDefault="00CB1877" w:rsidP="00735CC8">
      <w:pPr>
        <w:spacing w:after="0" w:line="240" w:lineRule="auto"/>
        <w:rPr>
          <w:b/>
        </w:rPr>
      </w:pPr>
      <w:r w:rsidRPr="0025293D">
        <w:t xml:space="preserve">A cross-sector work group representing a variety of key </w:t>
      </w:r>
      <w:r w:rsidR="00E34156" w:rsidRPr="0025293D">
        <w:t xml:space="preserve">education </w:t>
      </w:r>
      <w:r w:rsidRPr="0025293D">
        <w:t>stakeholder groups convened in early November to draft</w:t>
      </w:r>
      <w:r w:rsidR="002F5E22" w:rsidRPr="0025293D">
        <w:rPr>
          <w:b/>
        </w:rPr>
        <w:t xml:space="preserve"> system r</w:t>
      </w:r>
      <w:r w:rsidR="003B3692" w:rsidRPr="0025293D">
        <w:rPr>
          <w:b/>
        </w:rPr>
        <w:t>ecommendation</w:t>
      </w:r>
      <w:r w:rsidR="002F5E22" w:rsidRPr="0025293D">
        <w:rPr>
          <w:b/>
        </w:rPr>
        <w:t>s</w:t>
      </w:r>
      <w:r w:rsidR="00C63288" w:rsidRPr="0025293D">
        <w:rPr>
          <w:b/>
        </w:rPr>
        <w:t xml:space="preserve"> </w:t>
      </w:r>
      <w:r w:rsidR="002F5E22" w:rsidRPr="0025293D">
        <w:rPr>
          <w:b/>
        </w:rPr>
        <w:t>regarding the u</w:t>
      </w:r>
      <w:r w:rsidR="003B3692" w:rsidRPr="0025293D">
        <w:rPr>
          <w:b/>
        </w:rPr>
        <w:t xml:space="preserve">se of </w:t>
      </w:r>
      <w:r w:rsidR="002F5E22" w:rsidRPr="0025293D">
        <w:rPr>
          <w:b/>
        </w:rPr>
        <w:t xml:space="preserve">the </w:t>
      </w:r>
      <w:r w:rsidR="003B3692" w:rsidRPr="0025293D">
        <w:rPr>
          <w:b/>
        </w:rPr>
        <w:t xml:space="preserve">Smarter Balanced </w:t>
      </w:r>
      <w:r w:rsidR="002F5E22" w:rsidRPr="0025293D">
        <w:rPr>
          <w:b/>
        </w:rPr>
        <w:t>11</w:t>
      </w:r>
      <w:r w:rsidR="002F5E22" w:rsidRPr="0025293D">
        <w:rPr>
          <w:b/>
          <w:vertAlign w:val="superscript"/>
        </w:rPr>
        <w:t>th</w:t>
      </w:r>
      <w:r w:rsidR="002F5E22" w:rsidRPr="0025293D">
        <w:rPr>
          <w:b/>
        </w:rPr>
        <w:t xml:space="preserve"> grade assessment as an indicator of college readiness in </w:t>
      </w:r>
      <w:r w:rsidR="00434FB6" w:rsidRPr="0025293D">
        <w:rPr>
          <w:b/>
        </w:rPr>
        <w:t>t</w:t>
      </w:r>
      <w:r w:rsidR="002D74AD">
        <w:rPr>
          <w:b/>
        </w:rPr>
        <w:t xml:space="preserve">he placement process for </w:t>
      </w:r>
      <w:r w:rsidR="002F5E22" w:rsidRPr="0025293D">
        <w:rPr>
          <w:b/>
        </w:rPr>
        <w:t xml:space="preserve">postsecondary </w:t>
      </w:r>
      <w:r w:rsidR="00434FB6" w:rsidRPr="0025293D">
        <w:rPr>
          <w:b/>
        </w:rPr>
        <w:t>institutions</w:t>
      </w:r>
      <w:r w:rsidR="003B3692" w:rsidRPr="0025293D">
        <w:rPr>
          <w:b/>
        </w:rPr>
        <w:t xml:space="preserve"> in </w:t>
      </w:r>
      <w:r w:rsidR="002F5E22" w:rsidRPr="0025293D">
        <w:rPr>
          <w:b/>
        </w:rPr>
        <w:t>Washington</w:t>
      </w:r>
      <w:r w:rsidR="0052417F">
        <w:rPr>
          <w:b/>
        </w:rPr>
        <w:t xml:space="preserve"> </w:t>
      </w:r>
      <w:r w:rsidR="0052417F" w:rsidRPr="0052417F">
        <w:t>(see table following this introduction)</w:t>
      </w:r>
      <w:r w:rsidRPr="0052417F">
        <w:t>.</w:t>
      </w:r>
      <w:r w:rsidR="00735CC8">
        <w:rPr>
          <w:b/>
        </w:rPr>
        <w:t xml:space="preserve"> </w:t>
      </w:r>
      <w:r w:rsidR="0052417F">
        <w:t>F</w:t>
      </w:r>
      <w:r w:rsidR="00735CC8" w:rsidRPr="00E34156">
        <w:t xml:space="preserve">or </w:t>
      </w:r>
      <w:r w:rsidR="00735CC8">
        <w:t xml:space="preserve">more </w:t>
      </w:r>
      <w:r w:rsidR="00735CC8" w:rsidRPr="00E34156">
        <w:t xml:space="preserve">details about the work group or questions about the </w:t>
      </w:r>
      <w:r w:rsidR="00735CC8">
        <w:t>overall process, please c</w:t>
      </w:r>
      <w:r w:rsidR="00735CC8" w:rsidRPr="00E34156">
        <w:t xml:space="preserve">ontact Bill Moore, Director, Core to College Alignment, State Board for Community &amp; Technical Colleges, </w:t>
      </w:r>
      <w:hyperlink r:id="rId9" w:history="1">
        <w:r w:rsidR="00735CC8" w:rsidRPr="00E34156">
          <w:rPr>
            <w:rStyle w:val="Hyperlink"/>
          </w:rPr>
          <w:t>bmoore@sbctc.edu</w:t>
        </w:r>
      </w:hyperlink>
      <w:r w:rsidR="00735CC8" w:rsidRPr="00E34156">
        <w:t>, 360-704-4346.</w:t>
      </w:r>
    </w:p>
    <w:p w:rsidR="003B3692" w:rsidRPr="004E436C" w:rsidRDefault="003B3692" w:rsidP="00C83490">
      <w:pPr>
        <w:spacing w:after="0" w:line="240" w:lineRule="auto"/>
      </w:pPr>
    </w:p>
    <w:p w:rsidR="0052417F" w:rsidRPr="0025293D" w:rsidRDefault="0052417F" w:rsidP="0052417F">
      <w:pPr>
        <w:pStyle w:val="MediumGrid2-Accent11"/>
        <w:rPr>
          <w:u w:val="single"/>
        </w:rPr>
      </w:pPr>
      <w:r w:rsidRPr="0025293D">
        <w:rPr>
          <w:u w:val="single"/>
        </w:rPr>
        <w:t>Feedback Process/Timetable</w:t>
      </w:r>
    </w:p>
    <w:p w:rsidR="0052417F" w:rsidRDefault="0052417F" w:rsidP="0052417F">
      <w:pPr>
        <w:spacing w:after="0" w:line="240" w:lineRule="auto"/>
      </w:pPr>
      <w:r w:rsidRPr="0025293D">
        <w:t xml:space="preserve">We are </w:t>
      </w:r>
      <w:r>
        <w:t>inviting</w:t>
      </w:r>
      <w:r w:rsidRPr="0025293D">
        <w:t xml:space="preserve"> comments and </w:t>
      </w:r>
      <w:r>
        <w:t>input</w:t>
      </w:r>
      <w:r w:rsidRPr="0025293D">
        <w:t xml:space="preserve"> on these draft recomme</w:t>
      </w:r>
      <w:r>
        <w:t xml:space="preserve">ndations </w:t>
      </w:r>
      <w:r w:rsidRPr="00EA5575">
        <w:rPr>
          <w:b/>
        </w:rPr>
        <w:t>through April 1, 2014</w:t>
      </w:r>
      <w:r>
        <w:t xml:space="preserve">: </w:t>
      </w:r>
    </w:p>
    <w:p w:rsidR="0052417F" w:rsidRPr="00EA5575" w:rsidRDefault="0052417F" w:rsidP="0052417F">
      <w:pPr>
        <w:numPr>
          <w:ilvl w:val="0"/>
          <w:numId w:val="6"/>
        </w:numPr>
        <w:spacing w:after="0" w:line="240" w:lineRule="auto"/>
        <w:rPr>
          <w:b/>
        </w:rPr>
      </w:pPr>
      <w:r w:rsidRPr="0025293D">
        <w:t xml:space="preserve">collectively through discussions at system group meetings during the </w:t>
      </w:r>
      <w:r>
        <w:t xml:space="preserve">winter quarter, </w:t>
      </w:r>
      <w:r w:rsidRPr="0025293D">
        <w:t xml:space="preserve">and </w:t>
      </w:r>
    </w:p>
    <w:p w:rsidR="0052417F" w:rsidRPr="00EA5575" w:rsidRDefault="00F12A49" w:rsidP="00F12A49">
      <w:pPr>
        <w:numPr>
          <w:ilvl w:val="0"/>
          <w:numId w:val="6"/>
        </w:numPr>
        <w:spacing w:after="0" w:line="240" w:lineRule="auto"/>
        <w:rPr>
          <w:b/>
        </w:rPr>
      </w:pPr>
      <w:r>
        <w:t xml:space="preserve">individually </w:t>
      </w:r>
      <w:r w:rsidR="0052417F" w:rsidRPr="0025293D">
        <w:t xml:space="preserve">by reviewing the document and providing </w:t>
      </w:r>
      <w:r w:rsidR="0052417F">
        <w:t xml:space="preserve">general </w:t>
      </w:r>
      <w:r w:rsidR="0052417F" w:rsidRPr="0025293D">
        <w:t xml:space="preserve">comments via the web at </w:t>
      </w:r>
      <w:hyperlink r:id="rId10" w:history="1">
        <w:r w:rsidR="0052417F" w:rsidRPr="0025293D">
          <w:rPr>
            <w:rStyle w:val="Hyperlink"/>
          </w:rPr>
          <w:t>https://c2cwa.wordpress.com</w:t>
        </w:r>
      </w:hyperlink>
      <w:r>
        <w:t xml:space="preserve"> OR providing more targeted and specific feedback through an online survey: </w:t>
      </w:r>
      <w:hyperlink r:id="rId11" w:history="1">
        <w:r w:rsidRPr="00C12537">
          <w:rPr>
            <w:rStyle w:val="Hyperlink"/>
          </w:rPr>
          <w:t>https://www.surveymonkey.com/s/sbac_recs</w:t>
        </w:r>
      </w:hyperlink>
      <w:r>
        <w:t xml:space="preserve"> </w:t>
      </w:r>
    </w:p>
    <w:p w:rsidR="0052417F" w:rsidRDefault="0052417F" w:rsidP="0052417F">
      <w:pPr>
        <w:spacing w:after="0" w:line="240" w:lineRule="auto"/>
        <w:rPr>
          <w:b/>
        </w:rPr>
      </w:pPr>
    </w:p>
    <w:p w:rsidR="0052417F" w:rsidRPr="00735CC8" w:rsidRDefault="0052417F" w:rsidP="0052417F">
      <w:pPr>
        <w:spacing w:after="0" w:line="240" w:lineRule="auto"/>
      </w:pPr>
      <w:r w:rsidRPr="00C90FFC">
        <w:t xml:space="preserve">In </w:t>
      </w:r>
      <w:r>
        <w:t xml:space="preserve">April </w:t>
      </w:r>
      <w:r w:rsidRPr="00C90FFC">
        <w:t>2014 the policy work group will reconvene to consider the feedback received and finalize the system recommendations. The final proposal will then be shared with key system groups and stakeholders and presented to the 2-year college presidents and 4-year provosts in late spring for their approval. The goal is to inform Smarter Balanced Consortium of Washington’s decisions regarding the 11</w:t>
      </w:r>
      <w:r w:rsidRPr="00C90FFC">
        <w:rPr>
          <w:vertAlign w:val="superscript"/>
        </w:rPr>
        <w:t>th</w:t>
      </w:r>
      <w:r w:rsidRPr="00C90FFC">
        <w:t xml:space="preserve"> grade assessments during the fall 2014 quarter to allow adequate time for students taking the assessment officially for the first time in spring 2015 to understand the potential consequences of the scores.</w:t>
      </w:r>
    </w:p>
    <w:p w:rsidR="00C83490" w:rsidRPr="0025293D" w:rsidRDefault="00C83490" w:rsidP="00ED4BAB">
      <w:pPr>
        <w:pStyle w:val="MediumGrid2-Accent11"/>
        <w:rPr>
          <w:u w:val="single"/>
        </w:rPr>
      </w:pPr>
    </w:p>
    <w:p w:rsidR="00434FB6" w:rsidRPr="0025293D" w:rsidRDefault="00434FB6" w:rsidP="00E75750">
      <w:pPr>
        <w:pStyle w:val="MediumGrid2-Accent11"/>
        <w:rPr>
          <w:u w:val="single"/>
        </w:rPr>
      </w:pPr>
      <w:r w:rsidRPr="0025293D">
        <w:rPr>
          <w:u w:val="single"/>
        </w:rPr>
        <w:t>Rationale for Recommendations:</w:t>
      </w:r>
    </w:p>
    <w:p w:rsidR="00312763" w:rsidRDefault="00312763" w:rsidP="00E75750">
      <w:pPr>
        <w:pStyle w:val="MediumGrid2-Accent11"/>
      </w:pPr>
    </w:p>
    <w:p w:rsidR="0071448F" w:rsidRDefault="007D3241" w:rsidP="00E75750">
      <w:pPr>
        <w:pStyle w:val="MediumGrid2-Accent11"/>
      </w:pPr>
      <w:r>
        <w:rPr>
          <w:i/>
        </w:rPr>
        <w:t>Supporting the implementation of</w:t>
      </w:r>
      <w:r w:rsidR="00312763" w:rsidRPr="00312763">
        <w:rPr>
          <w:i/>
        </w:rPr>
        <w:t xml:space="preserve"> the </w:t>
      </w:r>
      <w:hyperlink r:id="rId12" w:history="1">
        <w:r w:rsidR="00312763" w:rsidRPr="00312763">
          <w:rPr>
            <w:rStyle w:val="Hyperlink"/>
            <w:i/>
          </w:rPr>
          <w:t>Common Core State Standards (CCSS)</w:t>
        </w:r>
      </w:hyperlink>
      <w:r w:rsidR="00312763" w:rsidRPr="00312763">
        <w:rPr>
          <w:i/>
        </w:rPr>
        <w:t>.</w:t>
      </w:r>
      <w:r w:rsidR="00312763">
        <w:t xml:space="preserve"> </w:t>
      </w:r>
      <w:r w:rsidR="007F0A0D" w:rsidRPr="004E436C">
        <w:t xml:space="preserve">The standards represent a critical shift in state standards for K-12 students, setting consistent, high, research-based expectations for </w:t>
      </w:r>
      <w:r w:rsidR="007F0A0D" w:rsidRPr="004E436C">
        <w:rPr>
          <w:u w:val="single"/>
        </w:rPr>
        <w:t>all</w:t>
      </w:r>
      <w:r w:rsidR="007F0A0D" w:rsidRPr="004E436C">
        <w:t xml:space="preserve"> students anchored in a clear vision of </w:t>
      </w:r>
      <w:r w:rsidR="007F0A0D" w:rsidRPr="004E436C">
        <w:rPr>
          <w:rFonts w:cs="Arial"/>
        </w:rPr>
        <w:t xml:space="preserve">the knowledge and skills students need to succeed in first-year college courses </w:t>
      </w:r>
      <w:r w:rsidR="007F0A0D" w:rsidRPr="004E436C">
        <w:t xml:space="preserve">and postsecondary professional-technical programs. </w:t>
      </w:r>
      <w:r w:rsidR="00434FB6" w:rsidRPr="0025293D">
        <w:t xml:space="preserve">The </w:t>
      </w:r>
      <w:r w:rsidR="00312763">
        <w:t>CCSS</w:t>
      </w:r>
      <w:r w:rsidR="00434FB6" w:rsidRPr="0025293D">
        <w:t xml:space="preserve"> </w:t>
      </w:r>
      <w:r w:rsidR="007F4378">
        <w:t xml:space="preserve">were developed through </w:t>
      </w:r>
      <w:r w:rsidR="007F4378" w:rsidRPr="0025293D">
        <w:t xml:space="preserve">a multi-state, state-led process </w:t>
      </w:r>
      <w:r w:rsidR="00ED42C9">
        <w:t xml:space="preserve">that </w:t>
      </w:r>
      <w:r w:rsidR="007F4378" w:rsidRPr="0025293D">
        <w:t>involv</w:t>
      </w:r>
      <w:r w:rsidR="00ED42C9">
        <w:t>ed</w:t>
      </w:r>
      <w:r w:rsidR="007F4378" w:rsidRPr="0025293D">
        <w:t xml:space="preserve"> higher education representatives from the </w:t>
      </w:r>
      <w:r w:rsidR="00ED42C9">
        <w:t>outset</w:t>
      </w:r>
      <w:r w:rsidR="007F0A0D">
        <w:t xml:space="preserve"> – and continued collaboration will be critical for success. </w:t>
      </w:r>
      <w:r w:rsidR="00ED42C9">
        <w:t>S</w:t>
      </w:r>
      <w:r w:rsidR="007F4378">
        <w:t>uccessful statewide implementation of the</w:t>
      </w:r>
      <w:r w:rsidR="0071448F" w:rsidRPr="0025293D">
        <w:t xml:space="preserve"> CCSS </w:t>
      </w:r>
      <w:r w:rsidR="007F4378">
        <w:t>will increase significantly</w:t>
      </w:r>
      <w:r w:rsidR="0071448F" w:rsidRPr="0025293D">
        <w:t xml:space="preserve"> the </w:t>
      </w:r>
      <w:r w:rsidR="0011445A">
        <w:t xml:space="preserve">college readiness </w:t>
      </w:r>
      <w:r w:rsidR="0071448F" w:rsidRPr="0025293D">
        <w:t>of</w:t>
      </w:r>
      <w:r w:rsidR="007F4378">
        <w:t xml:space="preserve"> W</w:t>
      </w:r>
      <w:r w:rsidR="0011445A">
        <w:t>ashington high school graduates and</w:t>
      </w:r>
      <w:r w:rsidR="007F4378">
        <w:t xml:space="preserve"> reduce </w:t>
      </w:r>
      <w:r w:rsidR="0071448F" w:rsidRPr="0025293D">
        <w:t>the</w:t>
      </w:r>
      <w:r w:rsidR="007F4378">
        <w:t>ir</w:t>
      </w:r>
      <w:r w:rsidR="0071448F" w:rsidRPr="0025293D">
        <w:t xml:space="preserve"> need for </w:t>
      </w:r>
      <w:r w:rsidR="007F4378">
        <w:t>precollege work in higher education</w:t>
      </w:r>
      <w:r w:rsidR="0071448F" w:rsidRPr="0025293D">
        <w:t xml:space="preserve"> (</w:t>
      </w:r>
      <w:r w:rsidR="00930280">
        <w:t xml:space="preserve">ultimately </w:t>
      </w:r>
      <w:r w:rsidR="0071448F" w:rsidRPr="0025293D">
        <w:t>saving money for both students and colleges)</w:t>
      </w:r>
      <w:r w:rsidR="0011445A">
        <w:t>.</w:t>
      </w:r>
      <w:r w:rsidR="007F4378">
        <w:t xml:space="preserve"> </w:t>
      </w:r>
    </w:p>
    <w:p w:rsidR="00312763" w:rsidRDefault="00312763" w:rsidP="00E75750">
      <w:pPr>
        <w:pStyle w:val="MediumGrid2-Accent11"/>
      </w:pPr>
    </w:p>
    <w:p w:rsidR="00312763" w:rsidRPr="004817D3" w:rsidRDefault="00EC0095" w:rsidP="00E75750">
      <w:pPr>
        <w:pStyle w:val="MediumGrid2-Accent11"/>
      </w:pPr>
      <w:r>
        <w:t>A</w:t>
      </w:r>
      <w:r w:rsidR="00A21E5A" w:rsidRPr="004817D3">
        <w:t xml:space="preserve"> survey </w:t>
      </w:r>
      <w:r w:rsidR="00312763" w:rsidRPr="004817D3">
        <w:t xml:space="preserve">of more than 1800 college and university faculty who teach introductory courses </w:t>
      </w:r>
      <w:r w:rsidR="00A21E5A" w:rsidRPr="00A21E5A">
        <w:t>(Conley et al., 2011)</w:t>
      </w:r>
      <w:r w:rsidR="00A21E5A" w:rsidRPr="00A21E5A">
        <w:rPr>
          <w:rStyle w:val="FootnoteReference"/>
        </w:rPr>
        <w:footnoteReference w:id="2"/>
      </w:r>
      <w:r w:rsidR="00A21E5A">
        <w:t xml:space="preserve"> </w:t>
      </w:r>
      <w:r w:rsidR="00312763" w:rsidRPr="004817D3">
        <w:t xml:space="preserve">indicated </w:t>
      </w:r>
      <w:r w:rsidR="00A21E5A" w:rsidRPr="004817D3">
        <w:t>substantial</w:t>
      </w:r>
      <w:r w:rsidR="00312763" w:rsidRPr="004817D3">
        <w:t xml:space="preserve"> consensus that the standards are a coherent representation of the knowledge and skills necessary for success in their </w:t>
      </w:r>
      <w:r w:rsidR="002D74AD">
        <w:t xml:space="preserve">entry-level college </w:t>
      </w:r>
      <w:r w:rsidR="00312763" w:rsidRPr="004817D3">
        <w:t xml:space="preserve">courses. The Washington English and math faculty who have reviewed the standards as part of the </w:t>
      </w:r>
      <w:r w:rsidR="00312763" w:rsidRPr="004817D3">
        <w:rPr>
          <w:i/>
        </w:rPr>
        <w:t>Core to College</w:t>
      </w:r>
      <w:r w:rsidR="00312763" w:rsidRPr="004817D3">
        <w:t xml:space="preserve"> work report</w:t>
      </w:r>
      <w:r w:rsidR="007D3241" w:rsidRPr="004817D3">
        <w:t>ed</w:t>
      </w:r>
      <w:r w:rsidR="00312763" w:rsidRPr="004817D3">
        <w:t xml:space="preserve"> similar broad support for the key elements and shifts in the CCSS.</w:t>
      </w:r>
    </w:p>
    <w:p w:rsidR="007F0A0D" w:rsidRDefault="007F0A0D" w:rsidP="007D3241">
      <w:pPr>
        <w:pStyle w:val="MediumGrid2-Accent11"/>
        <w:rPr>
          <w:i/>
        </w:rPr>
      </w:pPr>
    </w:p>
    <w:p w:rsidR="009E6A8B" w:rsidRDefault="00A21E5A" w:rsidP="007D3241">
      <w:pPr>
        <w:pStyle w:val="MediumGrid2-Accent11"/>
      </w:pPr>
      <w:r w:rsidRPr="00A21E5A">
        <w:rPr>
          <w:i/>
        </w:rPr>
        <w:lastRenderedPageBreak/>
        <w:t xml:space="preserve">Significance of </w:t>
      </w:r>
      <w:r w:rsidR="007D3241">
        <w:rPr>
          <w:i/>
        </w:rPr>
        <w:t>the Smarter Balanced assessment as an indicator of college readiness</w:t>
      </w:r>
      <w:r>
        <w:t xml:space="preserve">. </w:t>
      </w:r>
      <w:r w:rsidR="00D415AD">
        <w:t>T</w:t>
      </w:r>
      <w:r>
        <w:t xml:space="preserve">o </w:t>
      </w:r>
      <w:r w:rsidR="00D415AD">
        <w:t>establish</w:t>
      </w:r>
      <w:r>
        <w:t xml:space="preserve"> clear and consistent </w:t>
      </w:r>
      <w:r w:rsidR="000844E7">
        <w:t>assessments of t</w:t>
      </w:r>
      <w:r w:rsidR="007F4378">
        <w:t>hese</w:t>
      </w:r>
      <w:r w:rsidR="007F0A0D">
        <w:t xml:space="preserve"> </w:t>
      </w:r>
      <w:r w:rsidR="007F4378">
        <w:t xml:space="preserve">rigorous </w:t>
      </w:r>
      <w:r w:rsidR="007F0A0D">
        <w:t xml:space="preserve">new </w:t>
      </w:r>
      <w:r w:rsidR="007F4378">
        <w:t>standards for college</w:t>
      </w:r>
      <w:r>
        <w:t xml:space="preserve"> and career</w:t>
      </w:r>
      <w:r w:rsidR="000844E7">
        <w:t xml:space="preserve"> readiness, two </w:t>
      </w:r>
      <w:r w:rsidR="009D4962">
        <w:t xml:space="preserve">consortia </w:t>
      </w:r>
      <w:r w:rsidR="00EA5DD3">
        <w:t>have</w:t>
      </w:r>
      <w:r w:rsidR="009D4962">
        <w:t xml:space="preserve"> develop</w:t>
      </w:r>
      <w:r w:rsidR="00EA5DD3">
        <w:t>ed</w:t>
      </w:r>
      <w:r w:rsidR="009D4962">
        <w:t xml:space="preserve"> </w:t>
      </w:r>
      <w:r w:rsidR="007D3241">
        <w:t>state-of-the-art</w:t>
      </w:r>
      <w:r w:rsidR="009D4962">
        <w:t xml:space="preserve"> assessments that will </w:t>
      </w:r>
      <w:r w:rsidR="00F47EF1" w:rsidRPr="009D4962">
        <w:rPr>
          <w:u w:val="single"/>
        </w:rPr>
        <w:t>replace</w:t>
      </w:r>
      <w:r w:rsidR="009D4962">
        <w:t xml:space="preserve"> </w:t>
      </w:r>
      <w:r w:rsidR="00F47EF1">
        <w:t xml:space="preserve">the </w:t>
      </w:r>
      <w:r w:rsidR="009D4962">
        <w:t>existing</w:t>
      </w:r>
      <w:r w:rsidR="00F47EF1">
        <w:t xml:space="preserve"> K-12 student assessments required for federal accountability</w:t>
      </w:r>
      <w:r w:rsidR="009D4962">
        <w:t>, e</w:t>
      </w:r>
      <w:r w:rsidR="007D3241">
        <w:t>ffective spring 2015</w:t>
      </w:r>
      <w:r w:rsidR="007F0A0D">
        <w:t xml:space="preserve">. </w:t>
      </w:r>
      <w:r w:rsidR="007D3241">
        <w:t xml:space="preserve">Washington </w:t>
      </w:r>
      <w:r w:rsidR="00EC0095">
        <w:t xml:space="preserve">has joined </w:t>
      </w:r>
      <w:r w:rsidR="007D3241">
        <w:t xml:space="preserve">the </w:t>
      </w:r>
      <w:hyperlink r:id="rId13" w:history="1">
        <w:r w:rsidR="007F0A0D" w:rsidRPr="007D3241">
          <w:rPr>
            <w:rStyle w:val="Hyperlink"/>
          </w:rPr>
          <w:t>Smarter Balanced</w:t>
        </w:r>
      </w:hyperlink>
      <w:r w:rsidR="007F0A0D">
        <w:t xml:space="preserve"> </w:t>
      </w:r>
      <w:r w:rsidR="007D3241">
        <w:t>assessment consortium</w:t>
      </w:r>
      <w:r w:rsidR="007F0A0D">
        <w:t xml:space="preserve"> (SBAC)</w:t>
      </w:r>
      <w:r w:rsidR="007D3241">
        <w:t>; b</w:t>
      </w:r>
      <w:r w:rsidR="00F47EF1">
        <w:t>y current</w:t>
      </w:r>
      <w:r w:rsidR="009D4962">
        <w:t xml:space="preserve"> Washington state</w:t>
      </w:r>
      <w:r w:rsidR="00F47EF1">
        <w:t xml:space="preserve"> legislation, the 11</w:t>
      </w:r>
      <w:r w:rsidR="00F47EF1" w:rsidRPr="00F47EF1">
        <w:rPr>
          <w:vertAlign w:val="superscript"/>
        </w:rPr>
        <w:t>th</w:t>
      </w:r>
      <w:r w:rsidR="00F47EF1">
        <w:t xml:space="preserve"> grade </w:t>
      </w:r>
      <w:r w:rsidR="007D3241">
        <w:t xml:space="preserve">SBAC </w:t>
      </w:r>
      <w:r w:rsidR="00F47EF1">
        <w:t xml:space="preserve">assessment will be </w:t>
      </w:r>
      <w:r w:rsidR="00F47EF1" w:rsidRPr="007D3241">
        <w:rPr>
          <w:u w:val="single"/>
        </w:rPr>
        <w:t>required</w:t>
      </w:r>
      <w:r w:rsidR="00F47EF1">
        <w:t xml:space="preserve"> for high school graduation</w:t>
      </w:r>
      <w:r w:rsidR="00EA5575">
        <w:t xml:space="preserve"> for the Class of 2019 (but </w:t>
      </w:r>
      <w:r w:rsidR="00F47EF1">
        <w:t xml:space="preserve">with a </w:t>
      </w:r>
      <w:r w:rsidR="00EA5575">
        <w:t xml:space="preserve">separate </w:t>
      </w:r>
      <w:r w:rsidR="00F47EF1">
        <w:t>cut score</w:t>
      </w:r>
      <w:r w:rsidR="004E436C">
        <w:t xml:space="preserve"> likely to be</w:t>
      </w:r>
      <w:r w:rsidR="00EA5575">
        <w:t xml:space="preserve"> </w:t>
      </w:r>
      <w:r w:rsidR="00EA5575" w:rsidRPr="00EA5575">
        <w:rPr>
          <w:u w:val="single"/>
        </w:rPr>
        <w:t>below</w:t>
      </w:r>
      <w:r w:rsidR="00EA5575">
        <w:t xml:space="preserve"> the designated college-readiness level</w:t>
      </w:r>
      <w:r w:rsidR="00F47EF1">
        <w:t xml:space="preserve">). </w:t>
      </w:r>
      <w:r w:rsidR="007D3241">
        <w:t>In the absence of a clear college-readiness benchmark for high school graduates in Washington there will continue to be a gap between academic preparation in high school and the skills/knowledge expectations for succeeding in entry-level college courses</w:t>
      </w:r>
      <w:r w:rsidR="009E6A8B">
        <w:t>,</w:t>
      </w:r>
      <w:r w:rsidR="001627D1">
        <w:t xml:space="preserve"> increasing the need for </w:t>
      </w:r>
      <w:r w:rsidR="004E436C">
        <w:t>meaningful incentives to encourage</w:t>
      </w:r>
      <w:r w:rsidR="001627D1">
        <w:t xml:space="preserve"> student</w:t>
      </w:r>
      <w:r w:rsidR="004E436C">
        <w:t xml:space="preserve"> achievement of </w:t>
      </w:r>
      <w:r w:rsidR="001627D1">
        <w:t>the new standards.</w:t>
      </w:r>
      <w:r w:rsidR="004E436C">
        <w:t xml:space="preserve"> </w:t>
      </w:r>
    </w:p>
    <w:p w:rsidR="009E6A8B" w:rsidRDefault="009E6A8B" w:rsidP="007D3241">
      <w:pPr>
        <w:pStyle w:val="MediumGrid2-Accent11"/>
      </w:pPr>
    </w:p>
    <w:p w:rsidR="00A17540" w:rsidRPr="0025293D" w:rsidRDefault="004E436C" w:rsidP="007D3241">
      <w:pPr>
        <w:pStyle w:val="MediumGrid2-Accent11"/>
      </w:pPr>
      <w:r>
        <w:t>The use of the SBAC 11</w:t>
      </w:r>
      <w:r w:rsidRPr="004E436C">
        <w:rPr>
          <w:vertAlign w:val="superscript"/>
        </w:rPr>
        <w:t>th</w:t>
      </w:r>
      <w:r>
        <w:t xml:space="preserve"> grade scores in higher education as a meaningful indicator of college readiness will help encourage students to meet the standards. Considering these scores as part of the placement process is also timely a</w:t>
      </w:r>
      <w:r w:rsidR="00A17540" w:rsidRPr="0025293D">
        <w:t>s</w:t>
      </w:r>
      <w:r w:rsidR="0071448F" w:rsidRPr="0025293D">
        <w:t xml:space="preserve"> nati</w:t>
      </w:r>
      <w:r w:rsidR="00A17540" w:rsidRPr="0025293D">
        <w:t xml:space="preserve">onal research </w:t>
      </w:r>
      <w:r>
        <w:t>continues to</w:t>
      </w:r>
      <w:r w:rsidR="00A17540" w:rsidRPr="0025293D">
        <w:t xml:space="preserve"> question the quality and efficacy of existing placement tests</w:t>
      </w:r>
      <w:r>
        <w:t>.</w:t>
      </w:r>
      <w:r>
        <w:rPr>
          <w:rStyle w:val="FootnoteReference"/>
        </w:rPr>
        <w:footnoteReference w:id="3"/>
      </w:r>
      <w:r>
        <w:t xml:space="preserve"> M</w:t>
      </w:r>
      <w:r w:rsidR="00A17540" w:rsidRPr="0025293D">
        <w:t>ost Washington public higher education institutions are examining the predictive power of the tes</w:t>
      </w:r>
      <w:r w:rsidR="00F47EF1">
        <w:t>ts being used for placement</w:t>
      </w:r>
      <w:r>
        <w:t xml:space="preserve">, </w:t>
      </w:r>
      <w:r w:rsidR="00A17540" w:rsidRPr="0025293D">
        <w:t xml:space="preserve">shifting </w:t>
      </w:r>
      <w:r w:rsidR="0071448F" w:rsidRPr="0025293D">
        <w:t xml:space="preserve">away from single point in time placement test scores toward multiple </w:t>
      </w:r>
      <w:r w:rsidR="00A17540" w:rsidRPr="0025293D">
        <w:t>or alternative measures</w:t>
      </w:r>
      <w:r w:rsidR="00F47EF1">
        <w:t xml:space="preserve"> </w:t>
      </w:r>
      <w:r w:rsidR="001627D1">
        <w:t>t</w:t>
      </w:r>
      <w:r w:rsidR="00ED42C9">
        <w:t>hat</w:t>
      </w:r>
      <w:r w:rsidR="0071448F" w:rsidRPr="0025293D">
        <w:t xml:space="preserve"> provide a richer understanding of student potential for</w:t>
      </w:r>
      <w:r w:rsidR="00A17540" w:rsidRPr="0025293D">
        <w:t xml:space="preserve"> succ</w:t>
      </w:r>
      <w:r w:rsidR="00EA5575">
        <w:t xml:space="preserve">ess in college-level work, </w:t>
      </w:r>
      <w:r w:rsidR="00ED42C9">
        <w:t xml:space="preserve">such as </w:t>
      </w:r>
      <w:r w:rsidR="0071448F" w:rsidRPr="0025293D">
        <w:t>transcript-bas</w:t>
      </w:r>
      <w:r w:rsidR="00A17540" w:rsidRPr="0025293D">
        <w:t>ed placement</w:t>
      </w:r>
      <w:r w:rsidR="001627D1">
        <w:t xml:space="preserve"> efforts. I</w:t>
      </w:r>
      <w:r w:rsidR="00A17540" w:rsidRPr="0025293D">
        <w:t xml:space="preserve">ncorporating Smarter Balanced </w:t>
      </w:r>
      <w:r w:rsidR="001627D1">
        <w:t>11</w:t>
      </w:r>
      <w:r w:rsidR="001627D1" w:rsidRPr="001627D1">
        <w:rPr>
          <w:vertAlign w:val="superscript"/>
        </w:rPr>
        <w:t>th</w:t>
      </w:r>
      <w:r w:rsidR="001627D1">
        <w:t xml:space="preserve"> grade </w:t>
      </w:r>
      <w:r w:rsidR="00A17540" w:rsidRPr="0025293D">
        <w:t xml:space="preserve">scores into these ongoing efforts </w:t>
      </w:r>
      <w:r w:rsidR="00FC0E44">
        <w:t>provides real advantages over existing testing alternatives</w:t>
      </w:r>
      <w:r w:rsidR="001627D1">
        <w:t>:</w:t>
      </w:r>
    </w:p>
    <w:p w:rsidR="00FC0E44" w:rsidRDefault="00FC0E44" w:rsidP="00FC0E44">
      <w:pPr>
        <w:numPr>
          <w:ilvl w:val="0"/>
          <w:numId w:val="5"/>
        </w:numPr>
        <w:tabs>
          <w:tab w:val="left" w:pos="0"/>
          <w:tab w:val="left" w:pos="360"/>
        </w:tabs>
        <w:spacing w:after="0" w:line="240" w:lineRule="auto"/>
        <w:outlineLvl w:val="0"/>
      </w:pPr>
      <w:r w:rsidRPr="00FC0E44">
        <w:rPr>
          <w:b/>
        </w:rPr>
        <w:t>Cost.</w:t>
      </w:r>
      <w:r>
        <w:t xml:space="preserve"> The test w</w:t>
      </w:r>
      <w:r w:rsidRPr="0025293D">
        <w:t>ill be taken by all high school juniors and funded as part of the K-12 state assessment system.</w:t>
      </w:r>
    </w:p>
    <w:p w:rsidR="00FC0E44" w:rsidRPr="00FC0E44" w:rsidRDefault="00FC0E44" w:rsidP="00FC0E44">
      <w:pPr>
        <w:numPr>
          <w:ilvl w:val="0"/>
          <w:numId w:val="5"/>
        </w:numPr>
        <w:tabs>
          <w:tab w:val="left" w:pos="0"/>
          <w:tab w:val="left" w:pos="360"/>
        </w:tabs>
        <w:spacing w:after="0" w:line="240" w:lineRule="auto"/>
        <w:outlineLvl w:val="0"/>
      </w:pPr>
      <w:r w:rsidRPr="00FC0E44">
        <w:rPr>
          <w:b/>
        </w:rPr>
        <w:t>Variety and Level of Expectations</w:t>
      </w:r>
      <w:r>
        <w:t xml:space="preserve">. </w:t>
      </w:r>
      <w:r w:rsidRPr="00F77A73">
        <w:t>Students will encounter new item types, computer-enhanced items, many more constructed-response items, and performance tasks that ask them to write and to use a broad array of knowledge and skills to solve complex real-world problems.</w:t>
      </w:r>
    </w:p>
    <w:p w:rsidR="009E6A8B" w:rsidRPr="00FC0E44" w:rsidRDefault="00FC0E44" w:rsidP="00E75750">
      <w:pPr>
        <w:numPr>
          <w:ilvl w:val="0"/>
          <w:numId w:val="5"/>
        </w:numPr>
        <w:tabs>
          <w:tab w:val="left" w:pos="0"/>
          <w:tab w:val="left" w:pos="360"/>
        </w:tabs>
        <w:spacing w:after="0" w:line="240" w:lineRule="auto"/>
        <w:outlineLvl w:val="0"/>
        <w:rPr>
          <w:rStyle w:val="Hyperlink"/>
          <w:rFonts w:ascii="Franklin Gothic Book" w:hAnsi="Franklin Gothic Book"/>
          <w:color w:val="auto"/>
          <w:u w:val="none"/>
        </w:rPr>
      </w:pPr>
      <w:r w:rsidRPr="00FC0E44">
        <w:rPr>
          <w:b/>
        </w:rPr>
        <w:t>Transparency and Ownership</w:t>
      </w:r>
      <w:r>
        <w:t>. The test h</w:t>
      </w:r>
      <w:r w:rsidR="00B429E5" w:rsidRPr="0025293D">
        <w:t xml:space="preserve">as been designed and will be </w:t>
      </w:r>
      <w:r w:rsidR="00EA5DD3">
        <w:t>overseen</w:t>
      </w:r>
      <w:r w:rsidR="00B429E5" w:rsidRPr="0025293D">
        <w:t xml:space="preserve"> through the Smarter Balanced consortium of states with ongoing input from hundreds of teachers, higher education faculty, state content specialists and testing experts</w:t>
      </w:r>
      <w:r>
        <w:t>.</w:t>
      </w:r>
      <w:r w:rsidR="00B429E5" w:rsidRPr="0025293D">
        <w:t xml:space="preserve"> </w:t>
      </w:r>
      <w:r w:rsidR="00EA5DD3">
        <w:t>T</w:t>
      </w:r>
      <w:r w:rsidR="009E6A8B" w:rsidRPr="00F77A73">
        <w:t xml:space="preserve">he key documents describing the assessment (content specifications, item specifications, item writing training materials, test blueprints, accommodations framework, achievement level descriptors, technology specifications, etc.) are available to the public on the </w:t>
      </w:r>
      <w:hyperlink r:id="rId14" w:history="1">
        <w:r w:rsidR="009E6A8B" w:rsidRPr="00F77A73">
          <w:rPr>
            <w:rStyle w:val="Hyperlink"/>
          </w:rPr>
          <w:t>Smarter Balanced website</w:t>
        </w:r>
      </w:hyperlink>
      <w:r w:rsidRPr="00F77A73">
        <w:rPr>
          <w:rStyle w:val="Hyperlink"/>
        </w:rPr>
        <w:t>.</w:t>
      </w:r>
    </w:p>
    <w:p w:rsidR="009E6A8B" w:rsidRDefault="009E6A8B" w:rsidP="00E75750">
      <w:pPr>
        <w:pStyle w:val="MediumGrid2-Accent11"/>
        <w:rPr>
          <w:rFonts w:ascii="Franklin Gothic Book" w:hAnsi="Franklin Gothic Book"/>
        </w:rPr>
      </w:pPr>
    </w:p>
    <w:p w:rsidR="0052417F" w:rsidRPr="0025293D" w:rsidRDefault="0052417F" w:rsidP="0052417F">
      <w:pPr>
        <w:pStyle w:val="MediumGrid2-Accent11"/>
      </w:pPr>
      <w:r w:rsidRPr="0025293D">
        <w:rPr>
          <w:u w:val="single"/>
        </w:rPr>
        <w:t>Background</w:t>
      </w:r>
      <w:r w:rsidRPr="0025293D">
        <w:t xml:space="preserve">: </w:t>
      </w:r>
    </w:p>
    <w:p w:rsidR="0052417F" w:rsidRPr="0025293D" w:rsidRDefault="0052417F" w:rsidP="0052417F">
      <w:pPr>
        <w:pStyle w:val="MediumGrid2-Accent11"/>
      </w:pPr>
      <w:r w:rsidRPr="0025293D">
        <w:t xml:space="preserve">Washington is among 45 states, 2 territories and the District of Columbia implementing the new Common Core State Standards (CCSS) for college- and career-readiness in English Language Arts and Mathematics for grades K-12. As part of this </w:t>
      </w:r>
      <w:r>
        <w:t xml:space="preserve">implementation </w:t>
      </w:r>
      <w:r w:rsidRPr="0025293D">
        <w:t>process</w:t>
      </w:r>
      <w:r>
        <w:t>, the Smarter Balanced Assessment C</w:t>
      </w:r>
      <w:r w:rsidRPr="0025293D">
        <w:t>onsortium</w:t>
      </w:r>
      <w:r>
        <w:t xml:space="preserve"> has asked </w:t>
      </w:r>
      <w:r w:rsidRPr="0025293D">
        <w:t xml:space="preserve">postsecondary education institutions to </w:t>
      </w:r>
      <w:r>
        <w:t>decide</w:t>
      </w:r>
      <w:r w:rsidRPr="000A7AFA">
        <w:rPr>
          <w:i/>
        </w:rPr>
        <w:t xml:space="preserve"> whether and how the 11</w:t>
      </w:r>
      <w:r w:rsidRPr="000A7AFA">
        <w:rPr>
          <w:i/>
          <w:vertAlign w:val="superscript"/>
        </w:rPr>
        <w:t>th</w:t>
      </w:r>
      <w:r w:rsidRPr="000A7AFA">
        <w:rPr>
          <w:i/>
        </w:rPr>
        <w:t xml:space="preserve"> grade assessment will be used in placement decisions for high school </w:t>
      </w:r>
      <w:r>
        <w:rPr>
          <w:i/>
        </w:rPr>
        <w:t xml:space="preserve">graduates entering </w:t>
      </w:r>
      <w:r w:rsidRPr="000A7AFA">
        <w:rPr>
          <w:i/>
        </w:rPr>
        <w:t>higher education</w:t>
      </w:r>
      <w:r>
        <w:t>.</w:t>
      </w:r>
    </w:p>
    <w:p w:rsidR="0052417F" w:rsidRDefault="0052417F" w:rsidP="0052417F">
      <w:pPr>
        <w:pStyle w:val="MediumGrid2-Accent11"/>
      </w:pPr>
    </w:p>
    <w:p w:rsidR="00A327B9" w:rsidRDefault="0052417F" w:rsidP="00E75750">
      <w:pPr>
        <w:pStyle w:val="MediumGrid2-Accent11"/>
        <w:sectPr w:rsidR="00A327B9" w:rsidSect="0052417F">
          <w:headerReference w:type="even" r:id="rId15"/>
          <w:headerReference w:type="default" r:id="rId16"/>
          <w:footerReference w:type="even" r:id="rId17"/>
          <w:footerReference w:type="default" r:id="rId18"/>
          <w:headerReference w:type="first" r:id="rId19"/>
          <w:footerReference w:type="first" r:id="rId20"/>
          <w:pgSz w:w="12240" w:h="15840"/>
          <w:pgMar w:top="1440" w:right="1080" w:bottom="1440" w:left="1080" w:header="720" w:footer="720" w:gutter="0"/>
          <w:cols w:space="720"/>
          <w:docGrid w:linePitch="360"/>
        </w:sectPr>
      </w:pPr>
      <w:r>
        <w:t xml:space="preserve">During the 2012-13 academic year the Washington </w:t>
      </w:r>
      <w:hyperlink r:id="rId21" w:history="1">
        <w:r w:rsidRPr="009879AE">
          <w:rPr>
            <w:rStyle w:val="Hyperlink"/>
            <w:i/>
          </w:rPr>
          <w:t>Core to College</w:t>
        </w:r>
        <w:r w:rsidRPr="009879AE">
          <w:rPr>
            <w:rStyle w:val="Hyperlink"/>
          </w:rPr>
          <w:t xml:space="preserve"> project</w:t>
        </w:r>
      </w:hyperlink>
      <w:r>
        <w:rPr>
          <w:i/>
        </w:rPr>
        <w:t xml:space="preserve"> </w:t>
      </w:r>
      <w:r>
        <w:t xml:space="preserve">provided background information about the Common Core and the Smarter Balanced assessment, meeting with various faculty and administrator groups to share updates from the Smarter Balanced consortium, including its approval of a proposed college content-readiness policy </w:t>
      </w:r>
      <w:r w:rsidR="00A33B6B">
        <w:t>framework in late spring 2013. In early November t</w:t>
      </w:r>
      <w:r>
        <w:t xml:space="preserve">he project convened a statewide policy work group </w:t>
      </w:r>
      <w:r w:rsidR="00A33B6B">
        <w:t xml:space="preserve">(representing key educational stakeholders from higher education and K-12); at that meeting this group drafted </w:t>
      </w:r>
      <w:r>
        <w:t>the specific recommendations for Washington’s potential use of the 11</w:t>
      </w:r>
      <w:r w:rsidRPr="009879AE">
        <w:rPr>
          <w:vertAlign w:val="superscript"/>
        </w:rPr>
        <w:t>th</w:t>
      </w:r>
      <w:r w:rsidR="00A33B6B">
        <w:t xml:space="preserve"> grade assessment</w:t>
      </w:r>
      <w:r>
        <w:t xml:space="preserve"> included below.</w:t>
      </w:r>
    </w:p>
    <w:p w:rsidR="00A327B9" w:rsidRPr="00A327B9" w:rsidRDefault="00A327B9" w:rsidP="00A327B9">
      <w:pPr>
        <w:pStyle w:val="MediumGrid2-Accent11"/>
        <w:jc w:val="center"/>
        <w:rPr>
          <w:sz w:val="24"/>
          <w:szCs w:val="24"/>
        </w:rPr>
      </w:pPr>
      <w:r w:rsidRPr="00A327B9">
        <w:rPr>
          <w:b/>
          <w:sz w:val="24"/>
          <w:szCs w:val="24"/>
        </w:rPr>
        <w:lastRenderedPageBreak/>
        <w:t>Draft Recommendations for Higher Education Use of Smarter Balanced 11</w:t>
      </w:r>
      <w:r w:rsidRPr="00A327B9">
        <w:rPr>
          <w:b/>
          <w:sz w:val="24"/>
          <w:szCs w:val="24"/>
          <w:vertAlign w:val="superscript"/>
        </w:rPr>
        <w:t>th</w:t>
      </w:r>
      <w:r w:rsidRPr="00A327B9">
        <w:rPr>
          <w:b/>
          <w:sz w:val="24"/>
          <w:szCs w:val="24"/>
        </w:rPr>
        <w:t xml:space="preserve"> Grade Assessment</w:t>
      </w:r>
    </w:p>
    <w:tbl>
      <w:tblPr>
        <w:tblStyle w:val="TableGrid"/>
        <w:tblW w:w="0" w:type="auto"/>
        <w:tblLook w:val="04A0" w:firstRow="1" w:lastRow="0" w:firstColumn="1" w:lastColumn="0" w:noHBand="0" w:noVBand="1"/>
      </w:tblPr>
      <w:tblGrid>
        <w:gridCol w:w="1492"/>
        <w:gridCol w:w="1136"/>
        <w:gridCol w:w="1896"/>
        <w:gridCol w:w="2984"/>
        <w:gridCol w:w="2788"/>
      </w:tblGrid>
      <w:tr w:rsidR="00A327B9" w:rsidRPr="0039212A" w:rsidTr="00A327B9">
        <w:tc>
          <w:tcPr>
            <w:tcW w:w="1492" w:type="dxa"/>
          </w:tcPr>
          <w:p w:rsidR="00A327B9" w:rsidRPr="0039212A" w:rsidRDefault="00A327B9" w:rsidP="001967AF">
            <w:pPr>
              <w:rPr>
                <w:b/>
              </w:rPr>
            </w:pPr>
            <w:r w:rsidRPr="0039212A">
              <w:rPr>
                <w:b/>
              </w:rPr>
              <w:t>SBAC Score Level</w:t>
            </w:r>
          </w:p>
        </w:tc>
        <w:tc>
          <w:tcPr>
            <w:tcW w:w="3032" w:type="dxa"/>
            <w:gridSpan w:val="2"/>
          </w:tcPr>
          <w:p w:rsidR="00A327B9" w:rsidRPr="0039212A" w:rsidRDefault="00A327B9" w:rsidP="001967AF">
            <w:pPr>
              <w:rPr>
                <w:b/>
              </w:rPr>
            </w:pPr>
            <w:r w:rsidRPr="0039212A">
              <w:rPr>
                <w:b/>
              </w:rPr>
              <w:t>Math</w:t>
            </w:r>
          </w:p>
        </w:tc>
        <w:tc>
          <w:tcPr>
            <w:tcW w:w="2984" w:type="dxa"/>
          </w:tcPr>
          <w:p w:rsidR="00A327B9" w:rsidRPr="0039212A" w:rsidRDefault="00A327B9" w:rsidP="001967AF">
            <w:pPr>
              <w:rPr>
                <w:b/>
              </w:rPr>
            </w:pPr>
            <w:r w:rsidRPr="0039212A">
              <w:rPr>
                <w:b/>
              </w:rPr>
              <w:t>English</w:t>
            </w:r>
          </w:p>
        </w:tc>
        <w:tc>
          <w:tcPr>
            <w:tcW w:w="2788" w:type="dxa"/>
          </w:tcPr>
          <w:p w:rsidR="00A327B9" w:rsidRPr="0039212A" w:rsidRDefault="00A327B9" w:rsidP="001967AF">
            <w:pPr>
              <w:rPr>
                <w:b/>
              </w:rPr>
            </w:pPr>
            <w:r w:rsidRPr="0039212A">
              <w:rPr>
                <w:b/>
              </w:rPr>
              <w:t>Additional Comments</w:t>
            </w:r>
          </w:p>
        </w:tc>
      </w:tr>
      <w:tr w:rsidR="00A327B9" w:rsidTr="00A327B9">
        <w:tc>
          <w:tcPr>
            <w:tcW w:w="1492" w:type="dxa"/>
          </w:tcPr>
          <w:p w:rsidR="00A327B9" w:rsidRDefault="00A327B9" w:rsidP="001967AF">
            <w:r w:rsidRPr="00E656E2">
              <w:rPr>
                <w:b/>
                <w:bCs/>
              </w:rPr>
              <w:t>For students scoring at level 4 on the 11</w:t>
            </w:r>
            <w:r w:rsidRPr="00E656E2">
              <w:rPr>
                <w:b/>
                <w:bCs/>
                <w:vertAlign w:val="superscript"/>
              </w:rPr>
              <w:t>th</w:t>
            </w:r>
            <w:r w:rsidRPr="00E656E2">
              <w:rPr>
                <w:b/>
                <w:bCs/>
              </w:rPr>
              <w:t xml:space="preserve"> grade assessment…</w:t>
            </w:r>
          </w:p>
        </w:tc>
        <w:tc>
          <w:tcPr>
            <w:tcW w:w="3032" w:type="dxa"/>
            <w:gridSpan w:val="2"/>
          </w:tcPr>
          <w:p w:rsidR="00A327B9" w:rsidRDefault="00A327B9" w:rsidP="001967AF">
            <w:pPr>
              <w:pStyle w:val="ListParagraph"/>
              <w:numPr>
                <w:ilvl w:val="0"/>
                <w:numId w:val="7"/>
              </w:numPr>
              <w:spacing w:after="0" w:line="240" w:lineRule="auto"/>
            </w:pPr>
            <w:r w:rsidRPr="00E656E2">
              <w:rPr>
                <w:b/>
              </w:rPr>
              <w:t>Fully exempt</w:t>
            </w:r>
            <w:r>
              <w:t xml:space="preserve"> from remediation</w:t>
            </w:r>
          </w:p>
          <w:p w:rsidR="00A327B9" w:rsidRDefault="00A327B9" w:rsidP="001967AF">
            <w:pPr>
              <w:pStyle w:val="ListParagraph"/>
              <w:numPr>
                <w:ilvl w:val="0"/>
                <w:numId w:val="7"/>
              </w:numPr>
              <w:spacing w:after="0" w:line="240" w:lineRule="auto"/>
            </w:pPr>
            <w:r>
              <w:t xml:space="preserve">Placement into any </w:t>
            </w:r>
            <w:r w:rsidRPr="00E656E2">
              <w:rPr>
                <w:b/>
              </w:rPr>
              <w:t>entry college-level</w:t>
            </w:r>
            <w:r>
              <w:t xml:space="preserve"> math course (including pre-calculus) without additional testing</w:t>
            </w:r>
          </w:p>
        </w:tc>
        <w:tc>
          <w:tcPr>
            <w:tcW w:w="2984" w:type="dxa"/>
          </w:tcPr>
          <w:p w:rsidR="00A327B9" w:rsidRDefault="00A327B9" w:rsidP="001967AF">
            <w:pPr>
              <w:pStyle w:val="ListParagraph"/>
              <w:numPr>
                <w:ilvl w:val="0"/>
                <w:numId w:val="7"/>
              </w:numPr>
              <w:spacing w:after="0" w:line="240" w:lineRule="auto"/>
            </w:pPr>
            <w:r w:rsidRPr="00E656E2">
              <w:rPr>
                <w:b/>
              </w:rPr>
              <w:t>Fully exempt</w:t>
            </w:r>
            <w:r>
              <w:t xml:space="preserve"> from remediation</w:t>
            </w:r>
          </w:p>
          <w:p w:rsidR="00A327B9" w:rsidRDefault="00A327B9" w:rsidP="001967AF">
            <w:pPr>
              <w:pStyle w:val="ListParagraph"/>
              <w:numPr>
                <w:ilvl w:val="0"/>
                <w:numId w:val="7"/>
              </w:numPr>
              <w:spacing w:after="0" w:line="240" w:lineRule="auto"/>
            </w:pPr>
            <w:r>
              <w:t xml:space="preserve">Placement into any </w:t>
            </w:r>
            <w:r w:rsidRPr="0039212A">
              <w:rPr>
                <w:b/>
              </w:rPr>
              <w:t>entry college-level</w:t>
            </w:r>
            <w:r>
              <w:t xml:space="preserve"> English course (including but not limited to English Composition or its equivalent) without additional testing</w:t>
            </w:r>
          </w:p>
          <w:p w:rsidR="00FF7132" w:rsidRDefault="00FF7132" w:rsidP="00FF7132">
            <w:pPr>
              <w:spacing w:after="0" w:line="240" w:lineRule="auto"/>
            </w:pPr>
          </w:p>
        </w:tc>
        <w:tc>
          <w:tcPr>
            <w:tcW w:w="2788" w:type="dxa"/>
          </w:tcPr>
          <w:p w:rsidR="00A327B9" w:rsidRDefault="00A327B9" w:rsidP="001967AF">
            <w:r>
              <w:t xml:space="preserve">Students are expected and should be </w:t>
            </w:r>
            <w:r w:rsidRPr="0039212A">
              <w:rPr>
                <w:b/>
              </w:rPr>
              <w:t>advised</w:t>
            </w:r>
            <w:r>
              <w:t xml:space="preserve"> to take dual credit and other opportunities for earning college credit during their senior year</w:t>
            </w:r>
          </w:p>
        </w:tc>
      </w:tr>
      <w:tr w:rsidR="00A327B9" w:rsidTr="00A327B9">
        <w:tc>
          <w:tcPr>
            <w:tcW w:w="1492" w:type="dxa"/>
          </w:tcPr>
          <w:p w:rsidR="00A327B9" w:rsidRDefault="00A327B9" w:rsidP="001967AF">
            <w:r w:rsidRPr="00E656E2">
              <w:rPr>
                <w:b/>
                <w:bCs/>
              </w:rPr>
              <w:t>For students scoring at level 3 on the 11</w:t>
            </w:r>
            <w:r w:rsidRPr="00E656E2">
              <w:rPr>
                <w:b/>
                <w:bCs/>
                <w:vertAlign w:val="superscript"/>
              </w:rPr>
              <w:t>th</w:t>
            </w:r>
            <w:r w:rsidRPr="00E656E2">
              <w:rPr>
                <w:b/>
                <w:bCs/>
              </w:rPr>
              <w:t xml:space="preserve"> grade assessment…</w:t>
            </w:r>
          </w:p>
        </w:tc>
        <w:tc>
          <w:tcPr>
            <w:tcW w:w="3032" w:type="dxa"/>
            <w:gridSpan w:val="2"/>
          </w:tcPr>
          <w:p w:rsidR="00A327B9" w:rsidRDefault="00A327B9" w:rsidP="001967AF">
            <w:pPr>
              <w:pStyle w:val="ListParagraph"/>
              <w:numPr>
                <w:ilvl w:val="0"/>
                <w:numId w:val="8"/>
              </w:numPr>
              <w:spacing w:after="0" w:line="240" w:lineRule="auto"/>
            </w:pPr>
            <w:r w:rsidRPr="00E656E2">
              <w:rPr>
                <w:b/>
              </w:rPr>
              <w:t>Fully exempt</w:t>
            </w:r>
            <w:r>
              <w:t xml:space="preserve"> from remediation for placement into liberal arts math or statistics (Math &amp;107, Math &amp;146 or their equivalents) without additional testing</w:t>
            </w:r>
          </w:p>
          <w:p w:rsidR="00A327B9" w:rsidRDefault="00A327B9" w:rsidP="001967AF">
            <w:pPr>
              <w:pStyle w:val="ListParagraph"/>
              <w:numPr>
                <w:ilvl w:val="0"/>
                <w:numId w:val="8"/>
              </w:numPr>
              <w:spacing w:after="0" w:line="240" w:lineRule="auto"/>
            </w:pPr>
            <w:r w:rsidRPr="0039212A">
              <w:rPr>
                <w:b/>
              </w:rPr>
              <w:t>Conditionally exempt</w:t>
            </w:r>
            <w:r>
              <w:t xml:space="preserve"> from remediation for placement into other entry college-level math courses, contingent on successful completion of a post-Algebra II math course in senior year of high school</w:t>
            </w:r>
          </w:p>
          <w:p w:rsidR="00FF7132" w:rsidRPr="007F4A0D" w:rsidRDefault="00FF7132" w:rsidP="00FF7132">
            <w:pPr>
              <w:spacing w:after="0" w:line="240" w:lineRule="auto"/>
            </w:pPr>
          </w:p>
        </w:tc>
        <w:tc>
          <w:tcPr>
            <w:tcW w:w="2984" w:type="dxa"/>
          </w:tcPr>
          <w:p w:rsidR="00A327B9" w:rsidRDefault="00A327B9" w:rsidP="001967AF">
            <w:pPr>
              <w:pStyle w:val="ListParagraph"/>
              <w:numPr>
                <w:ilvl w:val="0"/>
                <w:numId w:val="8"/>
              </w:numPr>
              <w:spacing w:after="0" w:line="240" w:lineRule="auto"/>
            </w:pPr>
            <w:r w:rsidRPr="00E656E2">
              <w:rPr>
                <w:b/>
              </w:rPr>
              <w:t>Fully exempt</w:t>
            </w:r>
            <w:r>
              <w:t xml:space="preserve"> from remediation</w:t>
            </w:r>
          </w:p>
          <w:p w:rsidR="00A327B9" w:rsidRDefault="00A327B9" w:rsidP="001967AF">
            <w:pPr>
              <w:pStyle w:val="ListParagraph"/>
              <w:numPr>
                <w:ilvl w:val="0"/>
                <w:numId w:val="8"/>
              </w:numPr>
              <w:spacing w:after="0" w:line="240" w:lineRule="auto"/>
            </w:pPr>
            <w:r>
              <w:t xml:space="preserve">Placement into any </w:t>
            </w:r>
            <w:r w:rsidRPr="00500A9F">
              <w:rPr>
                <w:b/>
              </w:rPr>
              <w:t>entry college-level</w:t>
            </w:r>
            <w:r>
              <w:t xml:space="preserve"> English course (including but not limited to English Composition or its equivalent) without additional testing</w:t>
            </w:r>
          </w:p>
        </w:tc>
        <w:tc>
          <w:tcPr>
            <w:tcW w:w="2788" w:type="dxa"/>
          </w:tcPr>
          <w:p w:rsidR="00A327B9" w:rsidRDefault="00A327B9" w:rsidP="001967AF">
            <w:pPr>
              <w:pStyle w:val="ListParagraph"/>
              <w:numPr>
                <w:ilvl w:val="0"/>
                <w:numId w:val="8"/>
              </w:numPr>
              <w:spacing w:after="0" w:line="240" w:lineRule="auto"/>
            </w:pPr>
            <w:r>
              <w:t>Students are encouraged to consider appropriate advanced courses leading to college credit while in high school</w:t>
            </w:r>
          </w:p>
          <w:p w:rsidR="00A327B9" w:rsidRPr="00FD0BC4" w:rsidRDefault="00A327B9" w:rsidP="001967AF">
            <w:pPr>
              <w:pStyle w:val="ListParagraph"/>
              <w:numPr>
                <w:ilvl w:val="0"/>
                <w:numId w:val="8"/>
              </w:numPr>
              <w:spacing w:after="0" w:line="240" w:lineRule="auto"/>
            </w:pPr>
            <w:r w:rsidRPr="00FD0BC4">
              <w:t>Would like to see a more detailed analysis of Smarter Balanced threshold achievement level descriptors, especially in math</w:t>
            </w:r>
          </w:p>
        </w:tc>
      </w:tr>
      <w:tr w:rsidR="00A327B9" w:rsidRPr="00FD0BC4" w:rsidTr="00A327B9">
        <w:tc>
          <w:tcPr>
            <w:tcW w:w="1492" w:type="dxa"/>
          </w:tcPr>
          <w:p w:rsidR="00A327B9" w:rsidRPr="00FD0BC4" w:rsidRDefault="00A327B9" w:rsidP="001967AF">
            <w:r w:rsidRPr="00FD0BC4">
              <w:rPr>
                <w:b/>
                <w:bCs/>
              </w:rPr>
              <w:t>For students scoring at level 2 (below “college-ready”) on the 11</w:t>
            </w:r>
            <w:r w:rsidRPr="00FD0BC4">
              <w:rPr>
                <w:b/>
                <w:bCs/>
                <w:vertAlign w:val="superscript"/>
              </w:rPr>
              <w:t>th</w:t>
            </w:r>
            <w:r w:rsidRPr="00FD0BC4">
              <w:rPr>
                <w:b/>
                <w:bCs/>
              </w:rPr>
              <w:t xml:space="preserve"> grade assessment…</w:t>
            </w:r>
          </w:p>
        </w:tc>
        <w:tc>
          <w:tcPr>
            <w:tcW w:w="3032" w:type="dxa"/>
            <w:gridSpan w:val="2"/>
          </w:tcPr>
          <w:p w:rsidR="00A327B9" w:rsidRPr="00FD0BC4" w:rsidRDefault="00A327B9" w:rsidP="001967AF">
            <w:pPr>
              <w:pStyle w:val="ListParagraph"/>
              <w:numPr>
                <w:ilvl w:val="0"/>
                <w:numId w:val="9"/>
              </w:numPr>
              <w:spacing w:after="0" w:line="240" w:lineRule="auto"/>
            </w:pPr>
            <w:r w:rsidRPr="00FD0BC4">
              <w:rPr>
                <w:b/>
              </w:rPr>
              <w:t>Conditionally exempt</w:t>
            </w:r>
            <w:r w:rsidRPr="00FD0BC4">
              <w:t xml:space="preserve"> from remediation, contingent on successful completion of math course in senior year (Algebra II or higher) </w:t>
            </w:r>
            <w:r w:rsidRPr="00FD0BC4">
              <w:rPr>
                <w:u w:val="single"/>
              </w:rPr>
              <w:t xml:space="preserve">or </w:t>
            </w:r>
            <w:r w:rsidRPr="00FD0BC4">
              <w:t xml:space="preserve">math college readiness </w:t>
            </w:r>
            <w:r w:rsidRPr="00FD0BC4">
              <w:rPr>
                <w:b/>
              </w:rPr>
              <w:t>transition course</w:t>
            </w:r>
            <w:r w:rsidRPr="00FD0BC4">
              <w:t xml:space="preserve">; </w:t>
            </w:r>
            <w:r w:rsidRPr="00FD0BC4">
              <w:rPr>
                <w:u w:val="single"/>
              </w:rPr>
              <w:t>and</w:t>
            </w:r>
            <w:r w:rsidRPr="00FD0BC4">
              <w:t xml:space="preserve"> end-of-course assessment</w:t>
            </w:r>
          </w:p>
          <w:p w:rsidR="00A327B9" w:rsidRPr="00FD0BC4" w:rsidRDefault="00A327B9" w:rsidP="001967AF">
            <w:pPr>
              <w:pStyle w:val="ListParagraph"/>
              <w:numPr>
                <w:ilvl w:val="0"/>
                <w:numId w:val="9"/>
              </w:numPr>
              <w:spacing w:after="0" w:line="240" w:lineRule="auto"/>
            </w:pPr>
            <w:r w:rsidRPr="00FD0BC4">
              <w:t>Placement to be determined based on design of transition course and assessment</w:t>
            </w:r>
          </w:p>
        </w:tc>
        <w:tc>
          <w:tcPr>
            <w:tcW w:w="2984" w:type="dxa"/>
          </w:tcPr>
          <w:p w:rsidR="00A327B9" w:rsidRPr="00FD0BC4" w:rsidRDefault="00A327B9" w:rsidP="001967AF">
            <w:pPr>
              <w:pStyle w:val="ListParagraph"/>
              <w:numPr>
                <w:ilvl w:val="0"/>
                <w:numId w:val="9"/>
              </w:numPr>
              <w:spacing w:after="0" w:line="240" w:lineRule="auto"/>
            </w:pPr>
            <w:r w:rsidRPr="00FD0BC4">
              <w:rPr>
                <w:b/>
              </w:rPr>
              <w:t>Conditionally exempt</w:t>
            </w:r>
            <w:r w:rsidRPr="00FD0BC4">
              <w:t xml:space="preserve"> from remediation, contingent on successful completion of English course in senior year or college readiness </w:t>
            </w:r>
            <w:r w:rsidRPr="00FD0BC4">
              <w:rPr>
                <w:b/>
              </w:rPr>
              <w:t>transition course</w:t>
            </w:r>
            <w:r w:rsidRPr="00FD0BC4">
              <w:t>; and end-of-course assessment</w:t>
            </w:r>
          </w:p>
          <w:p w:rsidR="00FF7132" w:rsidRPr="00FD0BC4" w:rsidRDefault="00A327B9" w:rsidP="00FF7132">
            <w:pPr>
              <w:pStyle w:val="ListParagraph"/>
              <w:numPr>
                <w:ilvl w:val="0"/>
                <w:numId w:val="9"/>
              </w:numPr>
              <w:spacing w:after="0" w:line="240" w:lineRule="auto"/>
            </w:pPr>
            <w:r w:rsidRPr="00FD0BC4">
              <w:t>Placement to be determined based on design of transition course and assessment</w:t>
            </w:r>
            <w:r>
              <w:t xml:space="preserve"> (a</w:t>
            </w:r>
            <w:r w:rsidRPr="00FD0BC4">
              <w:t xml:space="preserve">dditional measures </w:t>
            </w:r>
            <w:r>
              <w:t>to be considered:</w:t>
            </w:r>
            <w:r w:rsidRPr="00FD0BC4">
              <w:t xml:space="preserve"> self-directed placement, writing samples, reading scores on placement tests</w:t>
            </w:r>
          </w:p>
        </w:tc>
        <w:tc>
          <w:tcPr>
            <w:tcW w:w="2788" w:type="dxa"/>
            <w:shd w:val="clear" w:color="auto" w:fill="auto"/>
          </w:tcPr>
          <w:p w:rsidR="00A327B9" w:rsidRPr="00FD0BC4" w:rsidRDefault="00A327B9" w:rsidP="001967AF">
            <w:pPr>
              <w:pStyle w:val="ListParagraph"/>
              <w:numPr>
                <w:ilvl w:val="0"/>
                <w:numId w:val="9"/>
              </w:numPr>
              <w:spacing w:after="240" w:line="240" w:lineRule="auto"/>
              <w:rPr>
                <w:kern w:val="24"/>
              </w:rPr>
            </w:pPr>
            <w:r w:rsidRPr="00FD0BC4">
              <w:rPr>
                <w:kern w:val="24"/>
              </w:rPr>
              <w:t>If district retests students and student ea</w:t>
            </w:r>
            <w:r>
              <w:rPr>
                <w:kern w:val="24"/>
              </w:rPr>
              <w:t>rns a 3 then he/she follows the level 3 rubric</w:t>
            </w:r>
          </w:p>
          <w:p w:rsidR="00A327B9" w:rsidRPr="00FD0BC4" w:rsidRDefault="00A327B9" w:rsidP="001967AF">
            <w:pPr>
              <w:pStyle w:val="ListParagraph"/>
              <w:numPr>
                <w:ilvl w:val="0"/>
                <w:numId w:val="9"/>
              </w:numPr>
              <w:spacing w:after="240" w:line="240" w:lineRule="auto"/>
              <w:rPr>
                <w:kern w:val="24"/>
              </w:rPr>
            </w:pPr>
            <w:r w:rsidRPr="00FD0BC4">
              <w:rPr>
                <w:kern w:val="24"/>
              </w:rPr>
              <w:t xml:space="preserve">Transition courses to be designed </w:t>
            </w:r>
            <w:r>
              <w:rPr>
                <w:kern w:val="24"/>
              </w:rPr>
              <w:t xml:space="preserve">through partnership between higher education and school districts </w:t>
            </w:r>
          </w:p>
          <w:p w:rsidR="00A327B9" w:rsidRPr="00FD0BC4" w:rsidRDefault="00A327B9" w:rsidP="001967AF">
            <w:pPr>
              <w:pStyle w:val="ListParagraph"/>
              <w:numPr>
                <w:ilvl w:val="0"/>
                <w:numId w:val="9"/>
              </w:numPr>
              <w:spacing w:after="240" w:line="240" w:lineRule="auto"/>
              <w:rPr>
                <w:kern w:val="24"/>
              </w:rPr>
            </w:pPr>
            <w:r w:rsidRPr="00FD0BC4">
              <w:rPr>
                <w:kern w:val="24"/>
              </w:rPr>
              <w:t>Scaling transcript-based placement critical to success of this approach</w:t>
            </w:r>
          </w:p>
          <w:p w:rsidR="00A327B9" w:rsidRPr="00FD0BC4" w:rsidRDefault="00A327B9" w:rsidP="001967AF">
            <w:pPr>
              <w:pStyle w:val="ListParagraph"/>
              <w:numPr>
                <w:ilvl w:val="0"/>
                <w:numId w:val="9"/>
              </w:numPr>
              <w:spacing w:after="240" w:line="240" w:lineRule="auto"/>
              <w:rPr>
                <w:kern w:val="24"/>
              </w:rPr>
            </w:pPr>
            <w:r w:rsidRPr="00FD0BC4">
              <w:rPr>
                <w:kern w:val="24"/>
              </w:rPr>
              <w:t>Overall high school GPA might be considered as another possible measure</w:t>
            </w:r>
          </w:p>
        </w:tc>
      </w:tr>
      <w:tr w:rsidR="00A327B9" w:rsidTr="00A327B9">
        <w:tc>
          <w:tcPr>
            <w:tcW w:w="2628" w:type="dxa"/>
            <w:gridSpan w:val="2"/>
          </w:tcPr>
          <w:p w:rsidR="00A327B9" w:rsidRPr="00283F7B" w:rsidRDefault="00A327B9" w:rsidP="001967AF">
            <w:pPr>
              <w:jc w:val="center"/>
              <w:rPr>
                <w:b/>
                <w:highlight w:val="lightGray"/>
              </w:rPr>
            </w:pPr>
            <w:r w:rsidRPr="00283F7B">
              <w:rPr>
                <w:b/>
              </w:rPr>
              <w:lastRenderedPageBreak/>
              <w:t>Additional Questions for Consideration</w:t>
            </w:r>
          </w:p>
        </w:tc>
        <w:tc>
          <w:tcPr>
            <w:tcW w:w="7668" w:type="dxa"/>
            <w:gridSpan w:val="3"/>
          </w:tcPr>
          <w:p w:rsidR="00A327B9" w:rsidRPr="00283F7B" w:rsidRDefault="00A327B9" w:rsidP="001967AF">
            <w:pPr>
              <w:jc w:val="center"/>
              <w:rPr>
                <w:b/>
              </w:rPr>
            </w:pPr>
            <w:r w:rsidRPr="00283F7B">
              <w:rPr>
                <w:b/>
              </w:rPr>
              <w:t>Recommendation and/or Suggestions for Next Steps</w:t>
            </w:r>
          </w:p>
        </w:tc>
      </w:tr>
      <w:tr w:rsidR="00A327B9" w:rsidTr="00A327B9">
        <w:tc>
          <w:tcPr>
            <w:tcW w:w="2628" w:type="dxa"/>
            <w:gridSpan w:val="2"/>
          </w:tcPr>
          <w:p w:rsidR="00A327B9" w:rsidRPr="00283F7B" w:rsidRDefault="00A327B9" w:rsidP="00A327B9">
            <w:pPr>
              <w:pStyle w:val="ListParagraph"/>
              <w:numPr>
                <w:ilvl w:val="0"/>
                <w:numId w:val="10"/>
              </w:numPr>
              <w:spacing w:after="0" w:line="240" w:lineRule="auto"/>
              <w:rPr>
                <w:highlight w:val="lightGray"/>
              </w:rPr>
            </w:pPr>
            <w:r w:rsidRPr="00283F7B">
              <w:rPr>
                <w:b/>
              </w:rPr>
              <w:t xml:space="preserve">How long will the scores be valid?  </w:t>
            </w:r>
          </w:p>
        </w:tc>
        <w:tc>
          <w:tcPr>
            <w:tcW w:w="7668" w:type="dxa"/>
            <w:gridSpan w:val="3"/>
          </w:tcPr>
          <w:p w:rsidR="00A327B9" w:rsidRPr="00283F7B" w:rsidRDefault="00A327B9" w:rsidP="001967AF">
            <w:r w:rsidRPr="00283F7B">
              <w:rPr>
                <w:b/>
              </w:rPr>
              <w:t>MATH:</w:t>
            </w:r>
            <w:r w:rsidRPr="00283F7B">
              <w:t xml:space="preserve"> One year, i.e., scores will be considered valid only for students who matriculate directly from high school to college.</w:t>
            </w:r>
          </w:p>
          <w:p w:rsidR="00A327B9" w:rsidRPr="00283F7B" w:rsidRDefault="00A327B9" w:rsidP="001967AF"/>
          <w:p w:rsidR="00A327B9" w:rsidRPr="00283F7B" w:rsidRDefault="00A327B9" w:rsidP="001967AF"/>
          <w:p w:rsidR="00A327B9" w:rsidRPr="00283F7B" w:rsidRDefault="00A327B9" w:rsidP="001967AF">
            <w:r w:rsidRPr="00283F7B">
              <w:rPr>
                <w:b/>
              </w:rPr>
              <w:t>ENGLISH:</w:t>
            </w:r>
            <w:r w:rsidRPr="00283F7B">
              <w:t xml:space="preserve"> Three years [pending some research into literature on deterioration of literacy skills over time]</w:t>
            </w:r>
          </w:p>
        </w:tc>
      </w:tr>
      <w:tr w:rsidR="00A327B9" w:rsidTr="00A327B9">
        <w:tc>
          <w:tcPr>
            <w:tcW w:w="2628" w:type="dxa"/>
            <w:gridSpan w:val="2"/>
          </w:tcPr>
          <w:p w:rsidR="00A327B9" w:rsidRPr="00283F7B" w:rsidRDefault="00A327B9" w:rsidP="00A327B9">
            <w:pPr>
              <w:pStyle w:val="ListParagraph"/>
              <w:numPr>
                <w:ilvl w:val="0"/>
                <w:numId w:val="10"/>
              </w:numPr>
              <w:spacing w:after="0" w:line="240" w:lineRule="auto"/>
              <w:rPr>
                <w:highlight w:val="lightGray"/>
              </w:rPr>
            </w:pPr>
            <w:r w:rsidRPr="00283F7B">
              <w:rPr>
                <w:b/>
              </w:rPr>
              <w:t>How can we use the 11</w:t>
            </w:r>
            <w:r w:rsidRPr="00283F7B">
              <w:rPr>
                <w:b/>
                <w:vertAlign w:val="superscript"/>
              </w:rPr>
              <w:t>th</w:t>
            </w:r>
            <w:r w:rsidRPr="00283F7B">
              <w:rPr>
                <w:b/>
              </w:rPr>
              <w:t xml:space="preserve"> grade assessment for Running Start and other dual credit programs for high school students? </w:t>
            </w:r>
          </w:p>
        </w:tc>
        <w:tc>
          <w:tcPr>
            <w:tcW w:w="7668" w:type="dxa"/>
            <w:gridSpan w:val="3"/>
          </w:tcPr>
          <w:p w:rsidR="00A327B9" w:rsidRPr="00283F7B" w:rsidRDefault="00A327B9" w:rsidP="00A327B9">
            <w:pPr>
              <w:pStyle w:val="ListParagraph"/>
              <w:numPr>
                <w:ilvl w:val="0"/>
                <w:numId w:val="11"/>
              </w:numPr>
              <w:spacing w:after="0" w:line="240" w:lineRule="auto"/>
            </w:pPr>
            <w:r w:rsidRPr="00283F7B">
              <w:t>Unless at some point students are able to take the assessment as sophomores, the current 11</w:t>
            </w:r>
            <w:r w:rsidRPr="00283F7B">
              <w:rPr>
                <w:vertAlign w:val="superscript"/>
              </w:rPr>
              <w:t>th</w:t>
            </w:r>
            <w:r w:rsidRPr="00283F7B">
              <w:t xml:space="preserve"> grade Smarter Balanced assessment comes too late for most Running Start students, who enter the program at the beginning of their junior year. </w:t>
            </w:r>
          </w:p>
          <w:p w:rsidR="00A327B9" w:rsidRPr="00283F7B" w:rsidRDefault="00A327B9" w:rsidP="00A327B9">
            <w:pPr>
              <w:pStyle w:val="ListParagraph"/>
              <w:numPr>
                <w:ilvl w:val="0"/>
                <w:numId w:val="11"/>
              </w:numPr>
              <w:spacing w:after="0" w:line="240" w:lineRule="auto"/>
            </w:pPr>
            <w:r w:rsidRPr="00283F7B">
              <w:t>For students who do begin Running Start as seniors, the Smarter Balanced assessment can serve a similar role to what it offers for students entering college after high school (see above).</w:t>
            </w:r>
          </w:p>
          <w:p w:rsidR="00A327B9" w:rsidRPr="00283F7B" w:rsidRDefault="00A327B9" w:rsidP="00A327B9">
            <w:pPr>
              <w:pStyle w:val="ListParagraph"/>
              <w:numPr>
                <w:ilvl w:val="0"/>
                <w:numId w:val="11"/>
              </w:numPr>
              <w:spacing w:after="0" w:line="240" w:lineRule="auto"/>
            </w:pPr>
            <w:r w:rsidRPr="00283F7B">
              <w:t xml:space="preserve">As with alternative placement measures at most colleges, students </w:t>
            </w:r>
            <w:r>
              <w:t>would be entitled to</w:t>
            </w:r>
            <w:r w:rsidRPr="00283F7B">
              <w:t xml:space="preserve"> the highest placement option available if there were a discrepancy between the initial placement test results and the Smarter Balanced placement.</w:t>
            </w:r>
          </w:p>
          <w:p w:rsidR="00A327B9" w:rsidRPr="00283F7B" w:rsidRDefault="00A327B9" w:rsidP="00A327B9">
            <w:pPr>
              <w:pStyle w:val="ListParagraph"/>
              <w:numPr>
                <w:ilvl w:val="0"/>
                <w:numId w:val="11"/>
              </w:numPr>
              <w:spacing w:after="0" w:line="240" w:lineRule="auto"/>
            </w:pPr>
            <w:r w:rsidRPr="00283F7B">
              <w:t xml:space="preserve">Need to consult with and get feedback from the statewide council of dual credit program coordinators. </w:t>
            </w:r>
          </w:p>
          <w:p w:rsidR="00A327B9" w:rsidRPr="00283F7B" w:rsidRDefault="00A327B9" w:rsidP="001967AF"/>
        </w:tc>
      </w:tr>
      <w:tr w:rsidR="00A327B9" w:rsidTr="00A327B9">
        <w:tc>
          <w:tcPr>
            <w:tcW w:w="2628" w:type="dxa"/>
            <w:gridSpan w:val="2"/>
          </w:tcPr>
          <w:p w:rsidR="00A327B9" w:rsidRPr="00283F7B" w:rsidRDefault="00A327B9" w:rsidP="00A327B9">
            <w:pPr>
              <w:pStyle w:val="ListParagraph"/>
              <w:numPr>
                <w:ilvl w:val="0"/>
                <w:numId w:val="10"/>
              </w:numPr>
              <w:spacing w:after="0" w:line="240" w:lineRule="auto"/>
            </w:pPr>
            <w:r w:rsidRPr="00283F7B">
              <w:rPr>
                <w:b/>
              </w:rPr>
              <w:t>How, if at all, will we use the 11</w:t>
            </w:r>
            <w:r w:rsidRPr="00283F7B">
              <w:rPr>
                <w:b/>
                <w:vertAlign w:val="superscript"/>
              </w:rPr>
              <w:t>th</w:t>
            </w:r>
            <w:r w:rsidRPr="00283F7B">
              <w:rPr>
                <w:b/>
              </w:rPr>
              <w:t xml:space="preserve"> grade assessment as a consideration in the admissions process for baccalaureate institutions? </w:t>
            </w:r>
          </w:p>
        </w:tc>
        <w:tc>
          <w:tcPr>
            <w:tcW w:w="7668" w:type="dxa"/>
            <w:gridSpan w:val="3"/>
          </w:tcPr>
          <w:p w:rsidR="00A327B9" w:rsidRPr="00283F7B" w:rsidRDefault="00A327B9" w:rsidP="00A327B9">
            <w:pPr>
              <w:pStyle w:val="ListParagraph"/>
              <w:numPr>
                <w:ilvl w:val="0"/>
                <w:numId w:val="12"/>
              </w:numPr>
              <w:spacing w:after="0" w:line="240" w:lineRule="auto"/>
            </w:pPr>
            <w:r w:rsidRPr="00283F7B">
              <w:t>Currently there appears to be insufficient levels of differentiation needed in an admissions test, so the assessment could not be used formally in the admissions decision-making process for entering students.</w:t>
            </w:r>
          </w:p>
          <w:p w:rsidR="00A327B9" w:rsidRPr="00283F7B" w:rsidRDefault="00A327B9" w:rsidP="00A327B9">
            <w:pPr>
              <w:pStyle w:val="ListParagraph"/>
              <w:numPr>
                <w:ilvl w:val="0"/>
                <w:numId w:val="12"/>
              </w:numPr>
              <w:spacing w:after="0" w:line="240" w:lineRule="auto"/>
            </w:pPr>
            <w:r w:rsidRPr="00283F7B">
              <w:t>There was general agreement that baccalaureate institutions would like to support the implementation of the Common Core and encourage students to achieve these higher standards; there was also agreement that the more information institutions have on students in terms of their overall academic performance and general profile, the better. Thus we need to draft language that conveys that support and indicates that Smarter Balanced assessment scores can be useful additional sources of information without suggesting they will be factored formally into admissions decisions.</w:t>
            </w:r>
          </w:p>
          <w:p w:rsidR="00A327B9" w:rsidRPr="00283F7B" w:rsidRDefault="00A327B9" w:rsidP="00A327B9">
            <w:pPr>
              <w:pStyle w:val="ListParagraph"/>
              <w:numPr>
                <w:ilvl w:val="0"/>
                <w:numId w:val="12"/>
              </w:numPr>
              <w:spacing w:after="0" w:line="240" w:lineRule="auto"/>
            </w:pPr>
            <w:r w:rsidRPr="00283F7B">
              <w:t>What would be involved in modifying the WSAC language related to the Minimum Admissions Standards to include a reference to the Smarter Balanced assessment scores as another possible source of information for students to share with baccalaureate institutions?</w:t>
            </w:r>
          </w:p>
          <w:p w:rsidR="00A327B9" w:rsidRPr="00283F7B" w:rsidRDefault="00A327B9" w:rsidP="00A327B9">
            <w:pPr>
              <w:pStyle w:val="ListParagraph"/>
              <w:numPr>
                <w:ilvl w:val="0"/>
                <w:numId w:val="12"/>
              </w:numPr>
              <w:spacing w:after="0" w:line="240" w:lineRule="auto"/>
            </w:pPr>
            <w:r w:rsidRPr="00283F7B">
              <w:t>There was some agreement among the K-12 representatives that some kind of reference to the Smarter Balanced score in the admissions process could be helpful but that the clear and direct link to placement, especially if well- and broadly-advertised, would be a very important incentive for many students.</w:t>
            </w:r>
          </w:p>
        </w:tc>
      </w:tr>
    </w:tbl>
    <w:p w:rsidR="00A327B9" w:rsidRPr="00A33B6B" w:rsidRDefault="00A327B9" w:rsidP="00E75750">
      <w:pPr>
        <w:pStyle w:val="MediumGrid2-Accent11"/>
      </w:pPr>
    </w:p>
    <w:sectPr w:rsidR="00A327B9" w:rsidRPr="00A33B6B" w:rsidSect="0052417F">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388" w:rsidRDefault="005C1388" w:rsidP="007D3B31">
      <w:pPr>
        <w:spacing w:after="0" w:line="240" w:lineRule="auto"/>
      </w:pPr>
      <w:r>
        <w:separator/>
      </w:r>
    </w:p>
  </w:endnote>
  <w:endnote w:type="continuationSeparator" w:id="0">
    <w:p w:rsidR="005C1388" w:rsidRDefault="005C1388" w:rsidP="007D3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EEE" w:rsidRDefault="009D1E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EEE" w:rsidRDefault="009D1E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EEE" w:rsidRDefault="009D1E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388" w:rsidRDefault="005C1388" w:rsidP="007D3B31">
      <w:pPr>
        <w:spacing w:after="0" w:line="240" w:lineRule="auto"/>
      </w:pPr>
      <w:r>
        <w:separator/>
      </w:r>
    </w:p>
  </w:footnote>
  <w:footnote w:type="continuationSeparator" w:id="0">
    <w:p w:rsidR="005C1388" w:rsidRDefault="005C1388" w:rsidP="007D3B31">
      <w:pPr>
        <w:spacing w:after="0" w:line="240" w:lineRule="auto"/>
      </w:pPr>
      <w:r>
        <w:continuationSeparator/>
      </w:r>
    </w:p>
  </w:footnote>
  <w:footnote w:id="1">
    <w:p w:rsidR="002D74AD" w:rsidRDefault="002D74AD">
      <w:pPr>
        <w:pStyle w:val="FootnoteText"/>
      </w:pPr>
      <w:r>
        <w:rPr>
          <w:rStyle w:val="FootnoteReference"/>
        </w:rPr>
        <w:footnoteRef/>
      </w:r>
      <w:r>
        <w:t xml:space="preserve"> </w:t>
      </w:r>
      <w:r w:rsidRPr="002D74AD">
        <w:rPr>
          <w:sz w:val="18"/>
          <w:szCs w:val="18"/>
        </w:rPr>
        <w:t xml:space="preserve">These recommendations are intended for public institutions but may be adopted by </w:t>
      </w:r>
      <w:r>
        <w:rPr>
          <w:sz w:val="18"/>
          <w:szCs w:val="18"/>
        </w:rPr>
        <w:t xml:space="preserve">individual </w:t>
      </w:r>
      <w:r w:rsidRPr="002D74AD">
        <w:rPr>
          <w:sz w:val="18"/>
          <w:szCs w:val="18"/>
        </w:rPr>
        <w:t>independent colleges as well</w:t>
      </w:r>
      <w:r>
        <w:rPr>
          <w:sz w:val="18"/>
          <w:szCs w:val="18"/>
        </w:rPr>
        <w:t>.</w:t>
      </w:r>
    </w:p>
  </w:footnote>
  <w:footnote w:id="2">
    <w:p w:rsidR="00A21E5A" w:rsidRDefault="00A21E5A" w:rsidP="00A21E5A">
      <w:pPr>
        <w:pStyle w:val="FootnoteText"/>
      </w:pPr>
      <w:r>
        <w:rPr>
          <w:rStyle w:val="FootnoteReference"/>
        </w:rPr>
        <w:footnoteRef/>
      </w:r>
      <w:r>
        <w:t xml:space="preserve"> </w:t>
      </w:r>
      <w:r w:rsidRPr="00A21E5A">
        <w:rPr>
          <w:sz w:val="18"/>
          <w:szCs w:val="18"/>
        </w:rPr>
        <w:t xml:space="preserve">Conley, D., K. Drummond, A. de Gonzalez, J. Rooseboom, and O. Stout. (2011). </w:t>
      </w:r>
      <w:r w:rsidRPr="00A21E5A">
        <w:rPr>
          <w:i/>
          <w:iCs/>
          <w:sz w:val="18"/>
          <w:szCs w:val="18"/>
        </w:rPr>
        <w:t xml:space="preserve">Reaching the goal:  The applicability and importance of the Common Core State Standards to college and career readiness.  </w:t>
      </w:r>
      <w:r w:rsidRPr="00A21E5A">
        <w:rPr>
          <w:iCs/>
          <w:sz w:val="18"/>
          <w:szCs w:val="18"/>
        </w:rPr>
        <w:t xml:space="preserve">Eugene, OR:  Educational Policy Improvement Center.  Available at </w:t>
      </w:r>
      <w:hyperlink r:id="rId1" w:history="1">
        <w:r w:rsidRPr="00A21E5A">
          <w:rPr>
            <w:rStyle w:val="Hyperlink"/>
            <w:iCs/>
            <w:sz w:val="18"/>
            <w:szCs w:val="18"/>
          </w:rPr>
          <w:t>https://www.epiconline.org/</w:t>
        </w:r>
      </w:hyperlink>
    </w:p>
  </w:footnote>
  <w:footnote w:id="3">
    <w:p w:rsidR="004E436C" w:rsidRDefault="004E436C">
      <w:pPr>
        <w:pStyle w:val="FootnoteText"/>
      </w:pPr>
      <w:r>
        <w:rPr>
          <w:rStyle w:val="FootnoteReference"/>
        </w:rPr>
        <w:footnoteRef/>
      </w:r>
      <w:r>
        <w:t xml:space="preserve"> e.g.,</w:t>
      </w:r>
      <w:r w:rsidRPr="0025293D">
        <w:t xml:space="preserve"> </w:t>
      </w:r>
      <w:r>
        <w:t xml:space="preserve">recent </w:t>
      </w:r>
      <w:r w:rsidRPr="0025293D">
        <w:t xml:space="preserve">work from </w:t>
      </w:r>
      <w:hyperlink r:id="rId2" w:history="1">
        <w:r w:rsidRPr="0025293D">
          <w:rPr>
            <w:rStyle w:val="Hyperlink"/>
          </w:rPr>
          <w:t>the Community College Research Center</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EEE" w:rsidRDefault="009D1E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EEE" w:rsidRDefault="009D1E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EEE" w:rsidRDefault="009D1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4F2EF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2D7E1E"/>
    <w:multiLevelType w:val="hybridMultilevel"/>
    <w:tmpl w:val="38FEDE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C6A4F89"/>
    <w:multiLevelType w:val="hybridMultilevel"/>
    <w:tmpl w:val="F6D63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2248D0"/>
    <w:multiLevelType w:val="hybridMultilevel"/>
    <w:tmpl w:val="09FC8B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B63943"/>
    <w:multiLevelType w:val="hybridMultilevel"/>
    <w:tmpl w:val="EB52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4A52D29"/>
    <w:multiLevelType w:val="hybridMultilevel"/>
    <w:tmpl w:val="5AF014E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6E460CB"/>
    <w:multiLevelType w:val="hybridMultilevel"/>
    <w:tmpl w:val="58D20CD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ACC3E46"/>
    <w:multiLevelType w:val="hybridMultilevel"/>
    <w:tmpl w:val="C0365C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943995"/>
    <w:multiLevelType w:val="hybridMultilevel"/>
    <w:tmpl w:val="D64844C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1E1687A"/>
    <w:multiLevelType w:val="hybridMultilevel"/>
    <w:tmpl w:val="CFB27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BB6AE8"/>
    <w:multiLevelType w:val="hybridMultilevel"/>
    <w:tmpl w:val="28769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766BB8"/>
    <w:multiLevelType w:val="hybridMultilevel"/>
    <w:tmpl w:val="86C48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10"/>
  </w:num>
  <w:num w:numId="5">
    <w:abstractNumId w:val="9"/>
  </w:num>
  <w:num w:numId="6">
    <w:abstractNumId w:val="3"/>
  </w:num>
  <w:num w:numId="7">
    <w:abstractNumId w:val="7"/>
  </w:num>
  <w:num w:numId="8">
    <w:abstractNumId w:val="6"/>
  </w:num>
  <w:num w:numId="9">
    <w:abstractNumId w:val="8"/>
  </w:num>
  <w:num w:numId="10">
    <w:abstractNumId w:val="4"/>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692"/>
    <w:rsid w:val="00041882"/>
    <w:rsid w:val="00062C31"/>
    <w:rsid w:val="000844E7"/>
    <w:rsid w:val="000A5A7E"/>
    <w:rsid w:val="000A7AFA"/>
    <w:rsid w:val="000C2BF6"/>
    <w:rsid w:val="000D382E"/>
    <w:rsid w:val="00105ACF"/>
    <w:rsid w:val="0011445A"/>
    <w:rsid w:val="001627D1"/>
    <w:rsid w:val="001A3D3D"/>
    <w:rsid w:val="001E28FA"/>
    <w:rsid w:val="00220F42"/>
    <w:rsid w:val="002251E2"/>
    <w:rsid w:val="0025293D"/>
    <w:rsid w:val="002D74AD"/>
    <w:rsid w:val="002F5E22"/>
    <w:rsid w:val="002F76AF"/>
    <w:rsid w:val="00312763"/>
    <w:rsid w:val="00353E9A"/>
    <w:rsid w:val="003A0E56"/>
    <w:rsid w:val="003A7566"/>
    <w:rsid w:val="003B3692"/>
    <w:rsid w:val="003C6A07"/>
    <w:rsid w:val="003E5F7C"/>
    <w:rsid w:val="00434FB6"/>
    <w:rsid w:val="004720F7"/>
    <w:rsid w:val="004817D3"/>
    <w:rsid w:val="004E436C"/>
    <w:rsid w:val="0052417F"/>
    <w:rsid w:val="00547A0A"/>
    <w:rsid w:val="005C1388"/>
    <w:rsid w:val="005C3ED7"/>
    <w:rsid w:val="006000A6"/>
    <w:rsid w:val="006958A7"/>
    <w:rsid w:val="006B5748"/>
    <w:rsid w:val="006D07B2"/>
    <w:rsid w:val="00706BD9"/>
    <w:rsid w:val="0071448F"/>
    <w:rsid w:val="00735CC8"/>
    <w:rsid w:val="00784841"/>
    <w:rsid w:val="007D3241"/>
    <w:rsid w:val="007D3B31"/>
    <w:rsid w:val="007F0A0D"/>
    <w:rsid w:val="007F4378"/>
    <w:rsid w:val="00814FD9"/>
    <w:rsid w:val="00831106"/>
    <w:rsid w:val="008D0142"/>
    <w:rsid w:val="008D3F8D"/>
    <w:rsid w:val="008D74FC"/>
    <w:rsid w:val="008E599A"/>
    <w:rsid w:val="00930280"/>
    <w:rsid w:val="009879AE"/>
    <w:rsid w:val="009D1EEE"/>
    <w:rsid w:val="009D4962"/>
    <w:rsid w:val="009E6A8B"/>
    <w:rsid w:val="00A17540"/>
    <w:rsid w:val="00A21E5A"/>
    <w:rsid w:val="00A327B9"/>
    <w:rsid w:val="00A33B6B"/>
    <w:rsid w:val="00A5202D"/>
    <w:rsid w:val="00A55E07"/>
    <w:rsid w:val="00B27D6E"/>
    <w:rsid w:val="00B27FAE"/>
    <w:rsid w:val="00B429E5"/>
    <w:rsid w:val="00B4334F"/>
    <w:rsid w:val="00B7254B"/>
    <w:rsid w:val="00C63288"/>
    <w:rsid w:val="00C83490"/>
    <w:rsid w:val="00C90FFC"/>
    <w:rsid w:val="00CA57DF"/>
    <w:rsid w:val="00CB1877"/>
    <w:rsid w:val="00D03A4B"/>
    <w:rsid w:val="00D415AD"/>
    <w:rsid w:val="00DE301C"/>
    <w:rsid w:val="00E34156"/>
    <w:rsid w:val="00E7532F"/>
    <w:rsid w:val="00E75750"/>
    <w:rsid w:val="00EA5575"/>
    <w:rsid w:val="00EA5DD3"/>
    <w:rsid w:val="00EC0095"/>
    <w:rsid w:val="00ED42C9"/>
    <w:rsid w:val="00ED4BAB"/>
    <w:rsid w:val="00F12A49"/>
    <w:rsid w:val="00F47EF1"/>
    <w:rsid w:val="00F77A73"/>
    <w:rsid w:val="00FC0E44"/>
    <w:rsid w:val="00FF7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74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D3B31"/>
    <w:pPr>
      <w:tabs>
        <w:tab w:val="center" w:pos="4680"/>
        <w:tab w:val="right" w:pos="9360"/>
      </w:tabs>
    </w:pPr>
  </w:style>
  <w:style w:type="character" w:customStyle="1" w:styleId="HeaderChar">
    <w:name w:val="Header Char"/>
    <w:link w:val="Header"/>
    <w:uiPriority w:val="99"/>
    <w:rsid w:val="007D3B31"/>
    <w:rPr>
      <w:sz w:val="22"/>
      <w:szCs w:val="22"/>
    </w:rPr>
  </w:style>
  <w:style w:type="paragraph" w:styleId="Footer">
    <w:name w:val="footer"/>
    <w:basedOn w:val="Normal"/>
    <w:link w:val="FooterChar"/>
    <w:uiPriority w:val="99"/>
    <w:unhideWhenUsed/>
    <w:rsid w:val="007D3B31"/>
    <w:pPr>
      <w:tabs>
        <w:tab w:val="center" w:pos="4680"/>
        <w:tab w:val="right" w:pos="9360"/>
      </w:tabs>
    </w:pPr>
  </w:style>
  <w:style w:type="character" w:customStyle="1" w:styleId="FooterChar">
    <w:name w:val="Footer Char"/>
    <w:link w:val="Footer"/>
    <w:uiPriority w:val="99"/>
    <w:rsid w:val="007D3B31"/>
    <w:rPr>
      <w:sz w:val="22"/>
      <w:szCs w:val="22"/>
    </w:rPr>
  </w:style>
  <w:style w:type="paragraph" w:customStyle="1" w:styleId="MediumGrid2-Accent11">
    <w:name w:val="Medium Grid 2 - Accent 11"/>
    <w:uiPriority w:val="1"/>
    <w:qFormat/>
    <w:rsid w:val="002F5E22"/>
    <w:rPr>
      <w:sz w:val="22"/>
      <w:szCs w:val="22"/>
    </w:rPr>
  </w:style>
  <w:style w:type="character" w:styleId="Hyperlink">
    <w:name w:val="Hyperlink"/>
    <w:uiPriority w:val="99"/>
    <w:unhideWhenUsed/>
    <w:rsid w:val="006958A7"/>
    <w:rPr>
      <w:color w:val="0000FF"/>
      <w:u w:val="single"/>
    </w:rPr>
  </w:style>
  <w:style w:type="paragraph" w:customStyle="1" w:styleId="ColorfulList-Accent11">
    <w:name w:val="Colorful List - Accent 11"/>
    <w:basedOn w:val="Normal"/>
    <w:uiPriority w:val="72"/>
    <w:qFormat/>
    <w:rsid w:val="0071448F"/>
    <w:pPr>
      <w:ind w:left="720"/>
      <w:contextualSpacing/>
    </w:pPr>
  </w:style>
  <w:style w:type="paragraph" w:styleId="FootnoteText">
    <w:name w:val="footnote text"/>
    <w:basedOn w:val="Normal"/>
    <w:link w:val="FootnoteTextChar"/>
    <w:uiPriority w:val="99"/>
    <w:unhideWhenUsed/>
    <w:rsid w:val="00312763"/>
    <w:rPr>
      <w:sz w:val="20"/>
      <w:szCs w:val="20"/>
    </w:rPr>
  </w:style>
  <w:style w:type="character" w:customStyle="1" w:styleId="FootnoteTextChar">
    <w:name w:val="Footnote Text Char"/>
    <w:basedOn w:val="DefaultParagraphFont"/>
    <w:link w:val="FootnoteText"/>
    <w:uiPriority w:val="99"/>
    <w:rsid w:val="00312763"/>
  </w:style>
  <w:style w:type="character" w:styleId="FootnoteReference">
    <w:name w:val="footnote reference"/>
    <w:uiPriority w:val="99"/>
    <w:unhideWhenUsed/>
    <w:rsid w:val="00312763"/>
    <w:rPr>
      <w:vertAlign w:val="superscript"/>
    </w:rPr>
  </w:style>
  <w:style w:type="character" w:styleId="CommentReference">
    <w:name w:val="annotation reference"/>
    <w:uiPriority w:val="99"/>
    <w:semiHidden/>
    <w:unhideWhenUsed/>
    <w:rsid w:val="00EC0095"/>
    <w:rPr>
      <w:sz w:val="16"/>
      <w:szCs w:val="16"/>
    </w:rPr>
  </w:style>
  <w:style w:type="paragraph" w:styleId="CommentText">
    <w:name w:val="annotation text"/>
    <w:basedOn w:val="Normal"/>
    <w:link w:val="CommentTextChar"/>
    <w:uiPriority w:val="99"/>
    <w:semiHidden/>
    <w:unhideWhenUsed/>
    <w:rsid w:val="00EC0095"/>
    <w:rPr>
      <w:sz w:val="20"/>
      <w:szCs w:val="20"/>
    </w:rPr>
  </w:style>
  <w:style w:type="character" w:customStyle="1" w:styleId="CommentTextChar">
    <w:name w:val="Comment Text Char"/>
    <w:basedOn w:val="DefaultParagraphFont"/>
    <w:link w:val="CommentText"/>
    <w:uiPriority w:val="99"/>
    <w:semiHidden/>
    <w:rsid w:val="00EC0095"/>
  </w:style>
  <w:style w:type="paragraph" w:styleId="CommentSubject">
    <w:name w:val="annotation subject"/>
    <w:basedOn w:val="CommentText"/>
    <w:next w:val="CommentText"/>
    <w:link w:val="CommentSubjectChar"/>
    <w:uiPriority w:val="99"/>
    <w:semiHidden/>
    <w:unhideWhenUsed/>
    <w:rsid w:val="00EC0095"/>
    <w:rPr>
      <w:b/>
      <w:bCs/>
    </w:rPr>
  </w:style>
  <w:style w:type="character" w:customStyle="1" w:styleId="CommentSubjectChar">
    <w:name w:val="Comment Subject Char"/>
    <w:link w:val="CommentSubject"/>
    <w:uiPriority w:val="99"/>
    <w:semiHidden/>
    <w:rsid w:val="00EC0095"/>
    <w:rPr>
      <w:b/>
      <w:bCs/>
    </w:rPr>
  </w:style>
  <w:style w:type="paragraph" w:styleId="BalloonText">
    <w:name w:val="Balloon Text"/>
    <w:basedOn w:val="Normal"/>
    <w:link w:val="BalloonTextChar"/>
    <w:uiPriority w:val="99"/>
    <w:semiHidden/>
    <w:unhideWhenUsed/>
    <w:rsid w:val="00EC009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C0095"/>
    <w:rPr>
      <w:rFonts w:ascii="Segoe UI" w:hAnsi="Segoe UI" w:cs="Segoe UI"/>
      <w:sz w:val="18"/>
      <w:szCs w:val="18"/>
    </w:rPr>
  </w:style>
  <w:style w:type="paragraph" w:customStyle="1" w:styleId="ColorfulShading-Accent11">
    <w:name w:val="Colorful Shading - Accent 11"/>
    <w:hidden/>
    <w:uiPriority w:val="71"/>
    <w:rsid w:val="004E436C"/>
    <w:rPr>
      <w:sz w:val="22"/>
      <w:szCs w:val="22"/>
    </w:rPr>
  </w:style>
  <w:style w:type="paragraph" w:styleId="ListParagraph">
    <w:name w:val="List Paragraph"/>
    <w:basedOn w:val="Normal"/>
    <w:uiPriority w:val="34"/>
    <w:qFormat/>
    <w:rsid w:val="00A327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74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D3B31"/>
    <w:pPr>
      <w:tabs>
        <w:tab w:val="center" w:pos="4680"/>
        <w:tab w:val="right" w:pos="9360"/>
      </w:tabs>
    </w:pPr>
  </w:style>
  <w:style w:type="character" w:customStyle="1" w:styleId="HeaderChar">
    <w:name w:val="Header Char"/>
    <w:link w:val="Header"/>
    <w:uiPriority w:val="99"/>
    <w:rsid w:val="007D3B31"/>
    <w:rPr>
      <w:sz w:val="22"/>
      <w:szCs w:val="22"/>
    </w:rPr>
  </w:style>
  <w:style w:type="paragraph" w:styleId="Footer">
    <w:name w:val="footer"/>
    <w:basedOn w:val="Normal"/>
    <w:link w:val="FooterChar"/>
    <w:uiPriority w:val="99"/>
    <w:unhideWhenUsed/>
    <w:rsid w:val="007D3B31"/>
    <w:pPr>
      <w:tabs>
        <w:tab w:val="center" w:pos="4680"/>
        <w:tab w:val="right" w:pos="9360"/>
      </w:tabs>
    </w:pPr>
  </w:style>
  <w:style w:type="character" w:customStyle="1" w:styleId="FooterChar">
    <w:name w:val="Footer Char"/>
    <w:link w:val="Footer"/>
    <w:uiPriority w:val="99"/>
    <w:rsid w:val="007D3B31"/>
    <w:rPr>
      <w:sz w:val="22"/>
      <w:szCs w:val="22"/>
    </w:rPr>
  </w:style>
  <w:style w:type="paragraph" w:customStyle="1" w:styleId="MediumGrid2-Accent11">
    <w:name w:val="Medium Grid 2 - Accent 11"/>
    <w:uiPriority w:val="1"/>
    <w:qFormat/>
    <w:rsid w:val="002F5E22"/>
    <w:rPr>
      <w:sz w:val="22"/>
      <w:szCs w:val="22"/>
    </w:rPr>
  </w:style>
  <w:style w:type="character" w:styleId="Hyperlink">
    <w:name w:val="Hyperlink"/>
    <w:uiPriority w:val="99"/>
    <w:unhideWhenUsed/>
    <w:rsid w:val="006958A7"/>
    <w:rPr>
      <w:color w:val="0000FF"/>
      <w:u w:val="single"/>
    </w:rPr>
  </w:style>
  <w:style w:type="paragraph" w:customStyle="1" w:styleId="ColorfulList-Accent11">
    <w:name w:val="Colorful List - Accent 11"/>
    <w:basedOn w:val="Normal"/>
    <w:uiPriority w:val="72"/>
    <w:qFormat/>
    <w:rsid w:val="0071448F"/>
    <w:pPr>
      <w:ind w:left="720"/>
      <w:contextualSpacing/>
    </w:pPr>
  </w:style>
  <w:style w:type="paragraph" w:styleId="FootnoteText">
    <w:name w:val="footnote text"/>
    <w:basedOn w:val="Normal"/>
    <w:link w:val="FootnoteTextChar"/>
    <w:uiPriority w:val="99"/>
    <w:unhideWhenUsed/>
    <w:rsid w:val="00312763"/>
    <w:rPr>
      <w:sz w:val="20"/>
      <w:szCs w:val="20"/>
    </w:rPr>
  </w:style>
  <w:style w:type="character" w:customStyle="1" w:styleId="FootnoteTextChar">
    <w:name w:val="Footnote Text Char"/>
    <w:basedOn w:val="DefaultParagraphFont"/>
    <w:link w:val="FootnoteText"/>
    <w:uiPriority w:val="99"/>
    <w:rsid w:val="00312763"/>
  </w:style>
  <w:style w:type="character" w:styleId="FootnoteReference">
    <w:name w:val="footnote reference"/>
    <w:uiPriority w:val="99"/>
    <w:unhideWhenUsed/>
    <w:rsid w:val="00312763"/>
    <w:rPr>
      <w:vertAlign w:val="superscript"/>
    </w:rPr>
  </w:style>
  <w:style w:type="character" w:styleId="CommentReference">
    <w:name w:val="annotation reference"/>
    <w:uiPriority w:val="99"/>
    <w:semiHidden/>
    <w:unhideWhenUsed/>
    <w:rsid w:val="00EC0095"/>
    <w:rPr>
      <w:sz w:val="16"/>
      <w:szCs w:val="16"/>
    </w:rPr>
  </w:style>
  <w:style w:type="paragraph" w:styleId="CommentText">
    <w:name w:val="annotation text"/>
    <w:basedOn w:val="Normal"/>
    <w:link w:val="CommentTextChar"/>
    <w:uiPriority w:val="99"/>
    <w:semiHidden/>
    <w:unhideWhenUsed/>
    <w:rsid w:val="00EC0095"/>
    <w:rPr>
      <w:sz w:val="20"/>
      <w:szCs w:val="20"/>
    </w:rPr>
  </w:style>
  <w:style w:type="character" w:customStyle="1" w:styleId="CommentTextChar">
    <w:name w:val="Comment Text Char"/>
    <w:basedOn w:val="DefaultParagraphFont"/>
    <w:link w:val="CommentText"/>
    <w:uiPriority w:val="99"/>
    <w:semiHidden/>
    <w:rsid w:val="00EC0095"/>
  </w:style>
  <w:style w:type="paragraph" w:styleId="CommentSubject">
    <w:name w:val="annotation subject"/>
    <w:basedOn w:val="CommentText"/>
    <w:next w:val="CommentText"/>
    <w:link w:val="CommentSubjectChar"/>
    <w:uiPriority w:val="99"/>
    <w:semiHidden/>
    <w:unhideWhenUsed/>
    <w:rsid w:val="00EC0095"/>
    <w:rPr>
      <w:b/>
      <w:bCs/>
    </w:rPr>
  </w:style>
  <w:style w:type="character" w:customStyle="1" w:styleId="CommentSubjectChar">
    <w:name w:val="Comment Subject Char"/>
    <w:link w:val="CommentSubject"/>
    <w:uiPriority w:val="99"/>
    <w:semiHidden/>
    <w:rsid w:val="00EC0095"/>
    <w:rPr>
      <w:b/>
      <w:bCs/>
    </w:rPr>
  </w:style>
  <w:style w:type="paragraph" w:styleId="BalloonText">
    <w:name w:val="Balloon Text"/>
    <w:basedOn w:val="Normal"/>
    <w:link w:val="BalloonTextChar"/>
    <w:uiPriority w:val="99"/>
    <w:semiHidden/>
    <w:unhideWhenUsed/>
    <w:rsid w:val="00EC009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C0095"/>
    <w:rPr>
      <w:rFonts w:ascii="Segoe UI" w:hAnsi="Segoe UI" w:cs="Segoe UI"/>
      <w:sz w:val="18"/>
      <w:szCs w:val="18"/>
    </w:rPr>
  </w:style>
  <w:style w:type="paragraph" w:customStyle="1" w:styleId="ColorfulShading-Accent11">
    <w:name w:val="Colorful Shading - Accent 11"/>
    <w:hidden/>
    <w:uiPriority w:val="71"/>
    <w:rsid w:val="004E436C"/>
    <w:rPr>
      <w:sz w:val="22"/>
      <w:szCs w:val="22"/>
    </w:rPr>
  </w:style>
  <w:style w:type="paragraph" w:styleId="ListParagraph">
    <w:name w:val="List Paragraph"/>
    <w:basedOn w:val="Normal"/>
    <w:uiPriority w:val="34"/>
    <w:qFormat/>
    <w:rsid w:val="00A32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marterbalanced.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acore2college.wikispaces.com/Project+Overview" TargetMode="External"/><Relationship Id="rId7" Type="http://schemas.openxmlformats.org/officeDocument/2006/relationships/footnotes" Target="footnotes.xml"/><Relationship Id="rId12" Type="http://schemas.openxmlformats.org/officeDocument/2006/relationships/hyperlink" Target="http://www.corestandards.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urveymonkey.com/s/sbac_recs"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c2cwa.wordpress.com"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bmoore@sbctc.edu" TargetMode="External"/><Relationship Id="rId14" Type="http://schemas.openxmlformats.org/officeDocument/2006/relationships/hyperlink" Target="http://www.smarterbalanced.or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crc.tc.columbia.edu/publications/assessing-developmental-assessment.html" TargetMode="External"/><Relationship Id="rId1" Type="http://schemas.openxmlformats.org/officeDocument/2006/relationships/hyperlink" Target="https://www.epiconline.org/files/pdf/ReachingtheGoal-Full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53468-C658-4368-84CF-4C3495287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1893</Words>
  <Characters>10791</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Dept. Community Colleges &amp; Workforce Development</Company>
  <LinksUpToDate>false</LinksUpToDate>
  <CharactersWithSpaces>12659</CharactersWithSpaces>
  <SharedDoc>false</SharedDoc>
  <HLinks>
    <vt:vector size="48" baseType="variant">
      <vt:variant>
        <vt:i4>4980821</vt:i4>
      </vt:variant>
      <vt:variant>
        <vt:i4>15</vt:i4>
      </vt:variant>
      <vt:variant>
        <vt:i4>0</vt:i4>
      </vt:variant>
      <vt:variant>
        <vt:i4>5</vt:i4>
      </vt:variant>
      <vt:variant>
        <vt:lpwstr>http://wacore2college.wikispaces.com/Project+Overview</vt:lpwstr>
      </vt:variant>
      <vt:variant>
        <vt:lpwstr/>
      </vt:variant>
      <vt:variant>
        <vt:i4>3145843</vt:i4>
      </vt:variant>
      <vt:variant>
        <vt:i4>12</vt:i4>
      </vt:variant>
      <vt:variant>
        <vt:i4>0</vt:i4>
      </vt:variant>
      <vt:variant>
        <vt:i4>5</vt:i4>
      </vt:variant>
      <vt:variant>
        <vt:lpwstr>http://www.smarterbalanced.org/</vt:lpwstr>
      </vt:variant>
      <vt:variant>
        <vt:lpwstr/>
      </vt:variant>
      <vt:variant>
        <vt:i4>3145843</vt:i4>
      </vt:variant>
      <vt:variant>
        <vt:i4>9</vt:i4>
      </vt:variant>
      <vt:variant>
        <vt:i4>0</vt:i4>
      </vt:variant>
      <vt:variant>
        <vt:i4>5</vt:i4>
      </vt:variant>
      <vt:variant>
        <vt:lpwstr>http://www.smarterbalanced.org/</vt:lpwstr>
      </vt:variant>
      <vt:variant>
        <vt:lpwstr/>
      </vt:variant>
      <vt:variant>
        <vt:i4>4522009</vt:i4>
      </vt:variant>
      <vt:variant>
        <vt:i4>6</vt:i4>
      </vt:variant>
      <vt:variant>
        <vt:i4>0</vt:i4>
      </vt:variant>
      <vt:variant>
        <vt:i4>5</vt:i4>
      </vt:variant>
      <vt:variant>
        <vt:lpwstr>http://www.corestandards.org/</vt:lpwstr>
      </vt:variant>
      <vt:variant>
        <vt:lpwstr/>
      </vt:variant>
      <vt:variant>
        <vt:i4>1966156</vt:i4>
      </vt:variant>
      <vt:variant>
        <vt:i4>3</vt:i4>
      </vt:variant>
      <vt:variant>
        <vt:i4>0</vt:i4>
      </vt:variant>
      <vt:variant>
        <vt:i4>5</vt:i4>
      </vt:variant>
      <vt:variant>
        <vt:lpwstr>https://c2cwa.wordpress.com/</vt:lpwstr>
      </vt:variant>
      <vt:variant>
        <vt:lpwstr/>
      </vt:variant>
      <vt:variant>
        <vt:i4>65595</vt:i4>
      </vt:variant>
      <vt:variant>
        <vt:i4>0</vt:i4>
      </vt:variant>
      <vt:variant>
        <vt:i4>0</vt:i4>
      </vt:variant>
      <vt:variant>
        <vt:i4>5</vt:i4>
      </vt:variant>
      <vt:variant>
        <vt:lpwstr>mailto:bmoore@sbctc.edu</vt:lpwstr>
      </vt:variant>
      <vt:variant>
        <vt:lpwstr/>
      </vt:variant>
      <vt:variant>
        <vt:i4>4390943</vt:i4>
      </vt:variant>
      <vt:variant>
        <vt:i4>3</vt:i4>
      </vt:variant>
      <vt:variant>
        <vt:i4>0</vt:i4>
      </vt:variant>
      <vt:variant>
        <vt:i4>5</vt:i4>
      </vt:variant>
      <vt:variant>
        <vt:lpwstr>http://ccrc.tc.columbia.edu/publications/assessing-developmental-assessment.html</vt:lpwstr>
      </vt:variant>
      <vt:variant>
        <vt:lpwstr/>
      </vt:variant>
      <vt:variant>
        <vt:i4>6881382</vt:i4>
      </vt:variant>
      <vt:variant>
        <vt:i4>0</vt:i4>
      </vt:variant>
      <vt:variant>
        <vt:i4>0</vt:i4>
      </vt:variant>
      <vt:variant>
        <vt:i4>5</vt:i4>
      </vt:variant>
      <vt:variant>
        <vt:lpwstr>https://www.epiconline.org/files/pdf/ReachingtheGoal-FullReport.pdf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Reynolds</dc:creator>
  <cp:lastModifiedBy>Messerly, Anne (WSAC)</cp:lastModifiedBy>
  <cp:revision>2</cp:revision>
  <cp:lastPrinted>2013-07-15T16:40:00Z</cp:lastPrinted>
  <dcterms:created xsi:type="dcterms:W3CDTF">2014-01-02T18:04:00Z</dcterms:created>
  <dcterms:modified xsi:type="dcterms:W3CDTF">2014-01-02T18:04:00Z</dcterms:modified>
</cp:coreProperties>
</file>